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Opening Plan</w:t>
      </w:r>
    </w:p>
    <w:p>
      <w:pPr>
        <w:jc w:val="right"/>
        <w:bidi/>
      </w:pPr>
      <w:r>
        <w:t>خطة افتتاح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Site and equipment readiness</w:t>
      </w:r>
    </w:p>
    <w:p>
      <w:pPr>
        <w:jc w:val="right"/>
        <w:bidi/>
      </w:pPr>
      <w:r>
        <w:t>جاهزية الموقع والمعدات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Team and operating standards</w:t>
      </w:r>
    </w:p>
    <w:p>
      <w:pPr>
        <w:jc w:val="right"/>
        <w:bidi/>
      </w:pPr>
      <w:r>
        <w:t>الفريق ومعايير التشغيل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Soft opening and follow up</w:t>
      </w:r>
    </w:p>
    <w:p>
      <w:pPr>
        <w:jc w:val="right"/>
        <w:bidi/>
      </w:pPr>
      <w:r>
        <w:t>التشغيل التجريبي والمتابعة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