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Operations Manual</w:t>
      </w:r>
    </w:p>
    <w:p>
      <w:pPr>
        <w:jc w:val="right"/>
        <w:bidi/>
      </w:pPr>
      <w:r>
        <w:t>دليل تشغيل 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Purpose and responsibility</w:t>
      </w:r>
    </w:p>
    <w:p>
      <w:pPr>
        <w:jc w:val="right"/>
        <w:bidi/>
      </w:pPr>
      <w:r>
        <w:t>الغرض والمسؤولية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Work steps and standards</w:t>
      </w:r>
    </w:p>
    <w:p>
      <w:pPr>
        <w:jc w:val="right"/>
        <w:bidi/>
      </w:pPr>
      <w:r>
        <w:t>خطوات العمل والمعايير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Verification and corrective action</w:t>
      </w:r>
    </w:p>
    <w:p>
      <w:pPr>
        <w:jc w:val="right"/>
        <w:bidi/>
      </w:pPr>
      <w:r>
        <w:t>التحقق والإجراء التصحيحي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