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Restaurant SOP Template</w:t>
      </w:r>
    </w:p>
    <w:p>
      <w:pPr>
        <w:jc w:val="right"/>
        <w:bidi/>
      </w:pPr>
      <w:r>
        <w:t>قالب إجراء تشغيلي قياسي للمطعم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Purpose and responsibility</w:t>
      </w:r>
    </w:p>
    <w:p>
      <w:pPr>
        <w:jc w:val="right"/>
        <w:bidi/>
      </w:pPr>
      <w:r>
        <w:t>الغرض والمسؤولية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Work steps and standards</w:t>
      </w:r>
    </w:p>
    <w:p>
      <w:pPr>
        <w:jc w:val="right"/>
        <w:bidi/>
      </w:pPr>
      <w:r>
        <w:t>خطوات العمل والمعايير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Verification and corrective action</w:t>
      </w:r>
    </w:p>
    <w:p>
      <w:pPr>
        <w:jc w:val="right"/>
        <w:bidi/>
      </w:pPr>
      <w:r>
        <w:t>التحقق والإجراء التصحيحي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