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Restaurant Turnaround Report</w:t>
      </w:r>
    </w:p>
    <w:p>
      <w:pPr>
        <w:jc w:val="right"/>
        <w:bidi/>
      </w:pPr>
      <w:r>
        <w:t>تقرير تحول المطعم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Baseline and business constraint</w:t>
      </w:r>
    </w:p>
    <w:p>
      <w:pPr>
        <w:jc w:val="right"/>
        <w:bidi/>
      </w:pPr>
      <w:r>
        <w:t>الوضع الحالي وما يعيق المشروع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Priority improvements</w:t>
      </w:r>
    </w:p>
    <w:p>
      <w:pPr>
        <w:jc w:val="right"/>
        <w:bidi/>
      </w:pPr>
      <w:r>
        <w:t>التحسينات ذات الأولوية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Owners and review milestones</w:t>
      </w:r>
    </w:p>
    <w:p>
      <w:pPr>
        <w:jc w:val="right"/>
        <w:bidi/>
      </w:pPr>
      <w:r>
        <w:t>المسؤولون ومواعيد المراجعة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