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4" w:rsidRPr="00E23A2A" w:rsidRDefault="00AE19E4" w:rsidP="00AE19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A2A">
        <w:rPr>
          <w:rFonts w:ascii="Times New Roman" w:hAnsi="Times New Roman" w:cs="Times New Roman"/>
          <w:b/>
          <w:sz w:val="28"/>
          <w:szCs w:val="28"/>
        </w:rPr>
        <w:t xml:space="preserve">23.4 ACADEMIC EXCELLENCE COMMITTEE (AEC)  </w:t>
      </w:r>
    </w:p>
    <w:p w:rsidR="00AE19E4" w:rsidRPr="00521291" w:rsidRDefault="00AE19E4" w:rsidP="00AE19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Students opt for higher education to find better opportunities in employment rather than for the sake of education only. Opportunities for higher education begin at school level itself. Students have a right to get best quality of education that may help them to stand straight with dignity in a fiercely competitive world. Beside guiding and preparing them for higher education, employability should also be a key feature of our endeavor in academics in order to shape the future of our younger generation.</w:t>
      </w:r>
    </w:p>
    <w:p w:rsidR="00AE19E4" w:rsidRPr="00521291" w:rsidRDefault="00AE19E4" w:rsidP="00AE19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Objectives of academic council</w:t>
      </w:r>
    </w:p>
    <w:p w:rsidR="00AE19E4" w:rsidRPr="00521291" w:rsidRDefault="00AE19E4" w:rsidP="00AE19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important to note that AEC will have a governance function, not a management function</w:t>
      </w:r>
    </w:p>
    <w:p w:rsidR="00AE19E4" w:rsidRPr="00521291" w:rsidRDefault="00AE19E4" w:rsidP="00AE19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anticipated that the President/Chairman of the society will have a great deal of inputs into the work and composition of the committee’s main role which is to assure academic Excellence.</w:t>
      </w:r>
    </w:p>
    <w:p w:rsidR="00AE19E4" w:rsidRPr="00521291" w:rsidRDefault="00AE19E4" w:rsidP="00AE19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That the full board approves and monitors the progress of annual goals to attain academic excellence.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Academic Excellence Committee is required to form for exploring the ways and means for revamping, reformation and systemic overhauling of the academic frame-work at the school.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main purpose of AEC is to measure the academic results of the institution against the goals established in strategic planning. A persistent vigil is required to block entry of any of the expected problem.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Supervision of ‘Academic Calendar’, review of timetable and preparation of academic guidelines before commencement of the new academic year.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Supervise the test, examination, results and other related activities.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Monitor the implementation of school curriculum by school administration.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Over see the school administration in the development of the school library.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will ensure that the learning should stimulate and sustain the child’s interest and therefore should be a joyful confidence building process for his future.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encourage participation of students in different activities outside school pertaining to academic, co-curricular and sports events held by govt. or private institutions, department of education, CBSE, or any other agency, workshops, meetings, camps for students /teachers etc.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Development of common interest program with other institutions, social initiative, communal harmony and awareness program. 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Planning professional development of teachers, and evaluation of performance for giving awards to the teachers/students. 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An annual report on school’s achievements.    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Academic Excellence Committee should not be involved in management level work such as;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Evaluating teachers.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Selecting the curricula, and its approval.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Interacting with teachers or other staff members on regular bases in association with principal.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Interacting with parents on regular bases, but parents’ co-operation deserves appreciation to boost up the confidence level and to bring out the creative best from among their wards.</w:t>
      </w:r>
    </w:p>
    <w:p w:rsidR="00AE19E4" w:rsidRPr="00521291" w:rsidRDefault="00AE19E4" w:rsidP="00AE1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Members of the Academic Excellence Committee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President/Chairman of the Managing Committee.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Manager of the school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of the school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V. P/s of the school.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Counselor, if any.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Two senior members of Executive Board/Managing Committee, preferably the educationists.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A senior teacher each from Humanities, Commerce and Science. </w:t>
      </w:r>
    </w:p>
    <w:p w:rsidR="00AE19E4" w:rsidRPr="00521291" w:rsidRDefault="00AE19E4" w:rsidP="00AE19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Its composition as per the guide-lines set forth by school managing committee. </w:t>
      </w: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DF2"/>
    <w:multiLevelType w:val="hybridMultilevel"/>
    <w:tmpl w:val="00F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19E4"/>
    <w:rsid w:val="00A62D0B"/>
    <w:rsid w:val="00AE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2020-11-11T13:24:00Z</dcterms:created>
  <dcterms:modified xsi:type="dcterms:W3CDTF">2020-11-11T13:26:00Z</dcterms:modified>
</cp:coreProperties>
</file>