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Arial" w:hAnsi="Arial"/>
          <w:b/>
          <w:color w:val="1B365D"/>
          <w:sz w:val="30"/>
        </w:rPr>
        <w:t>Code Execution &amp; Computational Pipeline Summary v5</w:t>
      </w:r>
    </w:p>
    <w:p>
      <w:pPr>
        <w:spacing w:before="0" w:after="120" w:line="276" w:lineRule="auto"/>
      </w:pPr>
      <w:r>
        <w:rPr>
          <w:rFonts w:ascii="Arial" w:hAnsi="Arial"/>
          <w:color w:val="333333"/>
          <w:sz w:val="21"/>
        </w:rPr>
        <w:t>This technical summary documents the software, machine learning architectures, hardware profiling routines, and reproduction scripts developed for manuscript ai_shm_post_earthquake_paper-v34.docx.</w:t>
      </w:r>
    </w:p>
    <w:p>
      <w:pPr>
        <w:keepNext/>
        <w:spacing w:before="240" w:after="120"/>
      </w:pPr>
      <w:r>
        <w:rPr>
          <w:rFonts w:ascii="Arial" w:hAnsi="Arial"/>
          <w:b/>
          <w:color w:val="1B365D"/>
          <w:sz w:val="26"/>
        </w:rPr>
        <w:t>1. Vision &amp; Multimodal Neural Networks (Python 3.12 / PyTorch):</w:t>
      </w:r>
    </w:p>
    <w:p>
      <w:pPr>
        <w:spacing w:before="0" w:after="120" w:line="276" w:lineRule="auto"/>
      </w:pPr>
      <w:r>
        <w:rPr>
          <w:rFonts w:ascii="Arial" w:hAnsi="Arial"/>
          <w:color w:val="333333"/>
          <w:sz w:val="21"/>
        </w:rPr>
        <w:t>YOLOv11 fine-tuning, TinyDeepCrack sub-millimeter semantic segmentation (&lt;0.1mm), STCHMDA-CVT vision transformer, Sentinel-1 SAR GLCM/LTC texture extraction.</w:t>
      </w:r>
    </w:p>
    <w:p>
      <w:pPr>
        <w:keepNext/>
        <w:spacing w:before="240" w:after="120"/>
      </w:pPr>
      <w:r>
        <w:rPr>
          <w:rFonts w:ascii="Arial" w:hAnsi="Arial"/>
          <w:b/>
          <w:color w:val="1B365D"/>
          <w:sz w:val="26"/>
        </w:rPr>
        <w:t>2. Physics-Informed Neural Networks (PINN / MDOF):</w:t>
      </w:r>
    </w:p>
    <w:p>
      <w:pPr>
        <w:spacing w:before="0" w:after="120" w:line="276" w:lineRule="auto"/>
      </w:pPr>
      <w:r>
        <w:rPr>
          <w:rFonts w:ascii="Arial" w:hAnsi="Arial"/>
          <w:color w:val="333333"/>
          <w:sz w:val="21"/>
        </w:rPr>
        <w:t>Custom PyTorch loss engine embedding MDOF equations of motion (M*x'' + C*x' + K*x = -M*I*x''_g), Timoshenko beam wave mechanics, and Vs1 = 215 m/s soil boundaries.</w:t>
      </w:r>
    </w:p>
    <w:p>
      <w:pPr>
        <w:keepNext/>
        <w:spacing w:before="240" w:after="120"/>
      </w:pPr>
      <w:r>
        <w:rPr>
          <w:rFonts w:ascii="Arial" w:hAnsi="Arial"/>
          <w:b/>
          <w:color w:val="1B365D"/>
          <w:sz w:val="26"/>
        </w:rPr>
        <w:t>3. Edge Hardware Execution (C++ / Pico SDK on RP2040):</w:t>
      </w:r>
    </w:p>
    <w:p>
      <w:pPr>
        <w:spacing w:before="0" w:after="120" w:line="276" w:lineRule="auto"/>
      </w:pPr>
      <w:r>
        <w:rPr>
          <w:rFonts w:ascii="Arial" w:hAnsi="Arial"/>
          <w:color w:val="333333"/>
          <w:sz w:val="21"/>
        </w:rPr>
        <w:t>Quantized INT8 1D-CNN-BiLSTM model deployed on $1.20 Raspberry Pi RP2040 microcontroller (20.4 ms latency, 1.4 kB RAM usage, 2-byte MQTT over LoRaWAN).</w:t>
      </w:r>
    </w:p>
    <w:p>
      <w:pPr>
        <w:keepNext/>
        <w:spacing w:before="240" w:after="120"/>
      </w:pPr>
      <w:r>
        <w:rPr>
          <w:rFonts w:ascii="Arial" w:hAnsi="Arial"/>
          <w:b/>
          <w:color w:val="1B365D"/>
          <w:sz w:val="26"/>
        </w:rPr>
        <w:t>4. Domain Adaptation &amp; Meta-Classification:</w:t>
      </w:r>
    </w:p>
    <w:p>
      <w:pPr>
        <w:spacing w:before="0" w:after="120" w:line="276" w:lineRule="auto"/>
      </w:pPr>
      <w:r>
        <w:rPr>
          <w:rFonts w:ascii="Arial" w:hAnsi="Arial"/>
          <w:color w:val="333333"/>
          <w:sz w:val="21"/>
        </w:rPr>
        <w:t>Domain Adversarial Neural Networks (DANN) with Gradient Reversal Layer (GRL), AHP-weighted LightGBM meta-classifier combining 256D visual embeddings.</w:t>
      </w:r>
    </w:p>
    <w:p>
      <w:pPr>
        <w:keepNext/>
        <w:spacing w:before="240" w:after="120"/>
      </w:pPr>
      <w:r>
        <w:rPr>
          <w:rFonts w:ascii="Arial" w:hAnsi="Arial"/>
          <w:b/>
          <w:color w:val="1B365D"/>
          <w:sz w:val="26"/>
        </w:rPr>
        <w:t>5. Reproduction Scripting &amp; Figure Generation:</w:t>
      </w:r>
    </w:p>
    <w:p>
      <w:pPr>
        <w:spacing w:before="0" w:after="120" w:line="276" w:lineRule="auto"/>
      </w:pPr>
      <w:r>
        <w:rPr>
          <w:rFonts w:ascii="Arial" w:hAnsi="Arial"/>
          <w:color w:val="333333"/>
          <w:sz w:val="21"/>
        </w:rPr>
        <w:t>reproduce_paper_figures.py standalone script generating 10 publication figures (300 DPI) directly from raw CSV underlying datasets.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