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left w:val="single" w:color="2C6E9E" w:sz="12" w:space="8"/>
        </w:pBdr>
        <w:shd w:fill="EDF5FB" w:val="clear"/>
        <w:spacing w:after="40"/>
        <w:ind w:left="200"/>
      </w:pPr>
      <w:r>
        <w:rPr>
          <w:rFonts w:ascii="Calibri" w:cs="Calibri" w:eastAsia="Calibri" w:hAnsi="Calibri"/>
          <w:b/>
          <w:bCs/>
          <w:color w:val="2C6E9E"/>
          <w:spacing w:val="60"/>
          <w:sz w:val="18"/>
          <w:szCs w:val="18"/>
        </w:rPr>
        <w:t xml:space="preserve">SH-NEW-27</w:t>
      </w:r>
    </w:p>
    <w:p>
      <w:pPr>
        <w:pBdr>
          <w:left w:val="single" w:color="2C6E9E" w:sz="12" w:space="8"/>
        </w:pBdr>
        <w:shd w:fill="EDF5FB" w:val="clear"/>
        <w:spacing w:after="40" w:before="0"/>
        <w:ind w:left="200"/>
      </w:pPr>
      <w:r>
        <w:rPr>
          <w:rFonts w:ascii="Georgia" w:cs="Georgia" w:eastAsia="Georgia" w:hAnsi="Georgia"/>
          <w:i/>
          <w:iCs/>
          <w:color w:val="1A1A18"/>
          <w:sz w:val="40"/>
          <w:szCs w:val="40"/>
        </w:rPr>
        <w:t xml:space="preserve">She Does Things Carefully Now</w:t>
      </w:r>
    </w:p>
    <w:p>
      <w:pPr>
        <w:pBdr>
          <w:left w:val="single" w:color="2C6E9E" w:sz="12" w:space="8"/>
        </w:pBdr>
        <w:shd w:fill="EDF5FB" w:val="clear"/>
        <w:spacing w:after="200" w:before="0"/>
        <w:ind w:left="200"/>
      </w:pPr>
      <w:r>
        <w:rPr>
          <w:rFonts w:ascii="Calibri" w:cs="Calibri" w:eastAsia="Calibri" w:hAnsi="Calibri"/>
          <w:color w:val="6B6960"/>
          <w:sz w:val="18"/>
          <w:szCs w:val="18"/>
        </w:rPr>
        <w:t xml:space="preserve">Native Text Ad Script Brief — Facebook • 4-in-1 Shoulder Therapy Belt • hearthealthco.com.au</w:t>
      </w:r>
    </w:p>
    <w:p>
      <w:pPr>
        <w:pBdr>
          <w:bottom w:val="single" w:color="E0DED6" w:sz="1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6B6960"/>
          <w:spacing w:val="60"/>
          <w:sz w:val="18"/>
          <w:szCs w:val="18"/>
        </w:rPr>
        <w:t xml:space="preserve">1. SUMMARY CARD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5F4F0" w:val="clear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6B6960"/>
                <w:sz w:val="18"/>
                <w:szCs w:val="18"/>
              </w:rPr>
              <w:t xml:space="preserve">Format</w:t>
            </w:r>
          </w:p>
        </w:tc>
        <w:tc>
          <w:tcPr>
            <w:tcW w:type="dxa" w:w="64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#46 Text, long-form (~1,400–2,200 words)</w:t>
            </w:r>
          </w:p>
        </w:tc>
      </w:tr>
      <w:tr>
        <w:tc>
          <w:tcPr>
            <w:tcW w:type="dxa" w:w="2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5F4F0" w:val="clear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6B6960"/>
                <w:sz w:val="18"/>
                <w:szCs w:val="18"/>
              </w:rPr>
              <w:t xml:space="preserve">Type</w:t>
            </w:r>
          </w:p>
        </w:tc>
        <w:tc>
          <w:tcPr>
            <w:tcW w:type="dxa" w:w="64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NEW (new concept using winning DNA structure)</w:t>
            </w:r>
          </w:p>
        </w:tc>
      </w:tr>
      <w:tr>
        <w:tc>
          <w:tcPr>
            <w:tcW w:type="dxa" w:w="2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5F4F0" w:val="clear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6B6960"/>
                <w:sz w:val="18"/>
                <w:szCs w:val="18"/>
              </w:rPr>
              <w:t xml:space="preserve">Angle</w:t>
            </w:r>
          </w:p>
        </w:tc>
        <w:tc>
          <w:tcPr>
            <w:tcW w:type="dxa" w:w="64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The Partner’s Eyes — pain told through a RELATIONSHIP lens (he notices, she sees him noticing)</w:t>
            </w:r>
          </w:p>
        </w:tc>
      </w:tr>
      <w:tr>
        <w:tc>
          <w:tcPr>
            <w:tcW w:type="dxa" w:w="2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5F4F0" w:val="clear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6B6960"/>
                <w:sz w:val="18"/>
                <w:szCs w:val="18"/>
              </w:rPr>
              <w:t xml:space="preserve">ICP</w:t>
            </w:r>
          </w:p>
        </w:tc>
        <w:tc>
          <w:tcPr>
            <w:tcW w:type="dxa" w:w="64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The Watched Partner</w:t>
            </w:r>
          </w:p>
        </w:tc>
      </w:tr>
      <w:tr>
        <w:tc>
          <w:tcPr>
            <w:tcW w:type="dxa" w:w="2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5F4F0" w:val="clear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6B6960"/>
                <w:sz w:val="18"/>
                <w:szCs w:val="18"/>
              </w:rPr>
              <w:t xml:space="preserve">Sophistication</w:t>
            </w:r>
          </w:p>
        </w:tc>
        <w:tc>
          <w:tcPr>
            <w:tcW w:type="dxa" w:w="64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Stage 3 — New Mechanism</w:t>
            </w:r>
          </w:p>
        </w:tc>
      </w:tr>
      <w:tr>
        <w:tc>
          <w:tcPr>
            <w:tcW w:type="dxa" w:w="2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5F4F0" w:val="clear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6B6960"/>
                <w:sz w:val="18"/>
                <w:szCs w:val="18"/>
              </w:rPr>
              <w:t xml:space="preserve">Risk Level</w:t>
            </w:r>
          </w:p>
        </w:tc>
        <w:tc>
          <w:tcPr>
            <w:tcW w:type="dxa" w:w="64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Lower Risk</w:t>
            </w:r>
          </w:p>
        </w:tc>
      </w:tr>
      <w:tr>
        <w:tc>
          <w:tcPr>
            <w:tcW w:type="dxa" w:w="2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5F4F0" w:val="clear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6B6960"/>
                <w:sz w:val="18"/>
                <w:szCs w:val="18"/>
              </w:rPr>
              <w:t xml:space="preserve">Product</w:t>
            </w:r>
          </w:p>
        </w:tc>
        <w:tc>
          <w:tcPr>
            <w:tcW w:type="dxa" w:w="64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4-in-1 Shoulder Therapy Belt ($149.99 AUD)</w:t>
            </w:r>
          </w:p>
        </w:tc>
      </w:tr>
      <w:tr>
        <w:tc>
          <w:tcPr>
            <w:tcW w:type="dxa" w:w="2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5F4F0" w:val="clear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6B6960"/>
                <w:sz w:val="18"/>
                <w:szCs w:val="18"/>
              </w:rPr>
              <w:t xml:space="preserve">Mechanism</w:t>
            </w:r>
          </w:p>
        </w:tc>
        <w:tc>
          <w:tcPr>
            <w:tcW w:type="dxa" w:w="64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Deep Tissue Reset (adapted for shoulder)</w:t>
            </w:r>
          </w:p>
        </w:tc>
      </w:tr>
      <w:tr>
        <w:tc>
          <w:tcPr>
            <w:tcW w:type="dxa" w:w="2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5F4F0" w:val="clear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6B6960"/>
                <w:sz w:val="18"/>
                <w:szCs w:val="18"/>
              </w:rPr>
              <w:t xml:space="preserve">Source DNA</w:t>
            </w:r>
          </w:p>
        </w:tc>
        <w:tc>
          <w:tcPr>
            <w:tcW w:type="dxa" w:w="64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AD 2 “The 14 Month” — 30 purchases, 4x ROAS</w:t>
            </w:r>
          </w:p>
        </w:tc>
      </w:tr>
      <w:tr>
        <w:tc>
          <w:tcPr>
            <w:tcW w:type="dxa" w:w="2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5F4F0" w:val="clear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6B6960"/>
                <w:sz w:val="18"/>
                <w:szCs w:val="18"/>
              </w:rPr>
              <w:t xml:space="preserve">LP Persona</w:t>
            </w:r>
          </w:p>
        </w:tc>
        <w:tc>
          <w:tcPr>
            <w:tcW w:type="dxa" w:w="64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Dr. David Sime (22 years experience)</w:t>
            </w:r>
          </w:p>
        </w:tc>
      </w:tr>
      <w:tr>
        <w:tc>
          <w:tcPr>
            <w:tcW w:type="dxa" w:w="2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5F4F0" w:val="clear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6B6960"/>
                <w:sz w:val="18"/>
                <w:szCs w:val="18"/>
              </w:rPr>
              <w:t xml:space="preserve">Guarantee</w:t>
            </w:r>
          </w:p>
        </w:tc>
        <w:tc>
          <w:tcPr>
            <w:tcW w:type="dxa" w:w="64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30-day money-back</w:t>
            </w:r>
          </w:p>
        </w:tc>
      </w:tr>
    </w:tbl>
    <w:p>
      <w:pPr>
        <w:pBdr>
          <w:bottom w:val="single" w:color="E0DED6" w:sz="1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6B6960"/>
          <w:spacing w:val="60"/>
          <w:sz w:val="18"/>
          <w:szCs w:val="18"/>
        </w:rPr>
        <w:t xml:space="preserve">2. THE JOB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18"/>
          <w:sz w:val="20"/>
          <w:szCs w:val="20"/>
        </w:rPr>
        <w:t xml:space="preserve">What this concept tests:</w:t>
      </w:r>
      <w:r>
        <w:rPr>
          <w:rFonts w:ascii="Calibri" w:cs="Calibri" w:eastAsia="Calibri" w:hAnsi="Calibri"/>
          <w:color w:val="1A1A18"/>
          <w:sz w:val="20"/>
          <w:szCs w:val="20"/>
        </w:rPr>
        <w:t xml:space="preserve"> A new emotional entry point. This ad is about shoulder pain, but the door the reader walks through is BEING WATCHED. The concept tests whether pain told through a RELATIONSHIP lens converts better than pain told through a personal-experience lens.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18"/>
          <w:sz w:val="20"/>
          <w:szCs w:val="20"/>
        </w:rPr>
        <w:t xml:space="preserve">Hypothesis:</w:t>
      </w:r>
      <w:r>
        <w:rPr>
          <w:rFonts w:ascii="Calibri" w:cs="Calibri" w:eastAsia="Calibri" w:hAnsi="Calibri"/>
          <w:color w:val="1A1A18"/>
          <w:sz w:val="20"/>
          <w:szCs w:val="20"/>
        </w:rPr>
        <w:t xml:space="preserve"> A reader whose partner has commented on how carefully she moves will feel this ad in a way that no “my shoulder hurts” ad can match. The pain becomes a relationship story, not a medical story.</w:t>
      </w:r>
    </w:p>
    <w:p>
      <w:pPr>
        <w:pBdr>
          <w:bottom w:val="single" w:color="E0DED6" w:sz="1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6B6960"/>
          <w:spacing w:val="60"/>
          <w:sz w:val="18"/>
          <w:szCs w:val="18"/>
        </w:rPr>
        <w:t xml:space="preserve">3. WHO’S READING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18"/>
          <w:sz w:val="20"/>
          <w:szCs w:val="20"/>
        </w:rPr>
        <w:t xml:space="preserve">Target:</w:t>
      </w:r>
      <w:r>
        <w:rPr>
          <w:rFonts w:ascii="Calibri" w:cs="Calibri" w:eastAsia="Calibri" w:hAnsi="Calibri"/>
          <w:color w:val="1A1A18"/>
          <w:sz w:val="20"/>
          <w:szCs w:val="20"/>
        </w:rPr>
        <w:t xml:space="preserve"> The Watched Partner. Age 48–68, shoulder pain has changed her movement patterns enough that someone close to her has noticed. She is not immobile. She is CAREFUL.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18"/>
          <w:sz w:val="20"/>
          <w:szCs w:val="20"/>
        </w:rPr>
        <w:t xml:space="preserve">Emotional state:</w:t>
      </w:r>
      <w:r>
        <w:rPr>
          <w:rFonts w:ascii="Calibri" w:cs="Calibri" w:eastAsia="Calibri" w:hAnsi="Calibri"/>
          <w:color w:val="1A1A18"/>
          <w:sz w:val="20"/>
          <w:szCs w:val="20"/>
        </w:rPr>
        <w:t xml:space="preserve"> Vulnerable but hiding it. Being watched makes her feel fragile.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18"/>
          <w:sz w:val="20"/>
          <w:szCs w:val="20"/>
        </w:rPr>
        <w:t xml:space="preserve">Key difference:</w:t>
      </w:r>
      <w:r>
        <w:rPr>
          <w:rFonts w:ascii="Calibri" w:cs="Calibri" w:eastAsia="Calibri" w:hAnsi="Calibri"/>
          <w:color w:val="1A1A18"/>
          <w:sz w:val="20"/>
          <w:szCs w:val="20"/>
        </w:rPr>
        <w:t xml:space="preserve"> AD 2’s reader is facing a MEDICAL crisis. This reader is facing an EMOTIONAL one.</w:t>
      </w:r>
    </w:p>
    <w:p>
      <w:pPr>
        <w:pBdr>
          <w:bottom w:val="single" w:color="E0DED6" w:sz="1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6B6960"/>
          <w:spacing w:val="60"/>
          <w:sz w:val="18"/>
          <w:szCs w:val="18"/>
        </w:rPr>
        <w:t xml:space="preserve">4. THE ANGLE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18"/>
          <w:sz w:val="20"/>
          <w:szCs w:val="20"/>
        </w:rPr>
        <w:t xml:space="preserve">Pain cluster:</w:t>
      </w:r>
      <w:r>
        <w:rPr>
          <w:rFonts w:ascii="Calibri" w:cs="Calibri" w:eastAsia="Calibri" w:hAnsi="Calibri"/>
          <w:color w:val="1A1A18"/>
          <w:sz w:val="20"/>
          <w:szCs w:val="20"/>
        </w:rPr>
        <w:t xml:space="preserve"> Relationship impact of chronic pain. The emotional burden of being watched and seen as fragile.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18"/>
          <w:sz w:val="20"/>
          <w:szCs w:val="20"/>
        </w:rPr>
        <w:t xml:space="preserve">Customer Language:</w:t>
      </w:r>
      <w:r>
        <w:rPr>
          <w:rFonts w:ascii="Calibri" w:cs="Calibri" w:eastAsia="Calibri" w:hAnsi="Calibri"/>
          <w:color w:val="1A1A18"/>
          <w:sz w:val="20"/>
          <w:szCs w:val="20"/>
        </w:rPr>
        <w:t xml:space="preserve"> “He said I do everything carefully now. I didn’t even notice I was doing it. But he did.”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18"/>
          <w:sz w:val="20"/>
          <w:szCs w:val="20"/>
        </w:rPr>
        <w:t xml:space="preserve">What makes this different:</w:t>
      </w:r>
      <w:r>
        <w:rPr>
          <w:rFonts w:ascii="Calibri" w:cs="Calibri" w:eastAsia="Calibri" w:hAnsi="Calibri"/>
          <w:color w:val="1A1A18"/>
          <w:sz w:val="20"/>
          <w:szCs w:val="20"/>
        </w:rPr>
        <w:t xml:space="preserve"> AD 2 enters through surgery. HIP-NEW-25 through failed products. HIP-NEW-11 through daily humiliation. THIS concept enters through SOMEONE ELSE’S observation.</w:t>
      </w:r>
    </w:p>
    <w:p>
      <w:pPr>
        <w:pBdr>
          <w:bottom w:val="single" w:color="E0DED6" w:sz="1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6B6960"/>
          <w:spacing w:val="60"/>
          <w:sz w:val="18"/>
          <w:szCs w:val="18"/>
        </w:rPr>
        <w:t xml:space="preserve">5. THREE HEADLINE OPTIONS</w:t>
      </w:r>
    </w:p>
    <w:p>
      <w:pPr>
        <w:pBdr>
          <w:left w:val="single" w:color="2C6E9E" w:sz="6" w:space="8"/>
        </w:pBdr>
        <w:shd w:fill="EDF5FB" w:val="clear"/>
        <w:spacing w:after="40" w:before="200"/>
        <w:ind w:left="200"/>
      </w:pPr>
      <w:r>
        <w:rPr>
          <w:rFonts w:ascii="Calibri" w:cs="Calibri" w:eastAsia="Calibri" w:hAnsi="Calibri"/>
          <w:b/>
          <w:bCs/>
          <w:color w:val="6B6960"/>
          <w:spacing w:val="40"/>
          <w:sz w:val="16"/>
          <w:szCs w:val="16"/>
        </w:rPr>
        <w:t xml:space="preserve">OPTION A — “THE OBSERVATION”</w:t>
      </w:r>
    </w:p>
    <w:p>
      <w:pPr>
        <w:pBdr>
          <w:left w:val="single" w:color="2C6E9E" w:sz="6" w:space="8"/>
        </w:pBdr>
        <w:shd w:fill="EDF5FB" w:val="clear"/>
        <w:spacing w:after="40" w:before="0"/>
        <w:ind w:left="200"/>
      </w:pPr>
      <w:r>
        <w:rPr>
          <w:rFonts w:ascii="Georgia" w:cs="Georgia" w:eastAsia="Georgia" w:hAnsi="Georgia"/>
          <w:i/>
          <w:iCs/>
          <w:color w:val="1A1A18"/>
          <w:sz w:val="26"/>
          <w:szCs w:val="26"/>
        </w:rPr>
        <w:t xml:space="preserve">“My husband said something last week that stopped me. ‘You do everything so carefully now.’”</w:t>
      </w:r>
    </w:p>
    <w:p>
      <w:pPr>
        <w:pBdr>
          <w:left w:val="single" w:color="2C6E9E" w:sz="6" w:space="8"/>
        </w:pBdr>
        <w:shd w:fill="EDF5FB" w:val="clear"/>
        <w:spacing w:after="120" w:before="0"/>
        <w:ind w:left="200"/>
      </w:pPr>
      <w:r>
        <w:rPr>
          <w:rFonts w:ascii="Calibri" w:cs="Calibri" w:eastAsia="Calibri" w:hAnsi="Calibri"/>
          <w:color w:val="6B6960"/>
          <w:sz w:val="18"/>
          <w:szCs w:val="18"/>
        </w:rPr>
        <w:t xml:space="preserve">Hook type: Intimate Confrontation</w:t>
      </w:r>
    </w:p>
    <w:p>
      <w:pPr>
        <w:pBdr>
          <w:left w:val="single" w:color="2C6E9E" w:sz="6" w:space="8"/>
        </w:pBdr>
        <w:shd w:fill="EDF5FB" w:val="clear"/>
        <w:spacing w:after="40" w:before="200"/>
        <w:ind w:left="200"/>
      </w:pPr>
      <w:r>
        <w:rPr>
          <w:rFonts w:ascii="Calibri" w:cs="Calibri" w:eastAsia="Calibri" w:hAnsi="Calibri"/>
          <w:b/>
          <w:bCs/>
          <w:color w:val="6B6960"/>
          <w:spacing w:val="40"/>
          <w:sz w:val="16"/>
          <w:szCs w:val="16"/>
        </w:rPr>
        <w:t xml:space="preserve">OPTION B — “THE FLINCH”</w:t>
      </w:r>
    </w:p>
    <w:p>
      <w:pPr>
        <w:pBdr>
          <w:left w:val="single" w:color="2C6E9E" w:sz="6" w:space="8"/>
        </w:pBdr>
        <w:shd w:fill="EDF5FB" w:val="clear"/>
        <w:spacing w:after="40" w:before="0"/>
        <w:ind w:left="200"/>
      </w:pPr>
      <w:r>
        <w:rPr>
          <w:rFonts w:ascii="Georgia" w:cs="Georgia" w:eastAsia="Georgia" w:hAnsi="Georgia"/>
          <w:i/>
          <w:iCs/>
          <w:color w:val="1A1A18"/>
          <w:sz w:val="26"/>
          <w:szCs w:val="26"/>
        </w:rPr>
        <w:t xml:space="preserve">“I reached for a cup on the top shelf. My husband flinched. He flinched before I did.”</w:t>
      </w:r>
    </w:p>
    <w:p>
      <w:pPr>
        <w:pBdr>
          <w:left w:val="single" w:color="2C6E9E" w:sz="6" w:space="8"/>
        </w:pBdr>
        <w:shd w:fill="EDF5FB" w:val="clear"/>
        <w:spacing w:after="120" w:before="0"/>
        <w:ind w:left="200"/>
      </w:pPr>
      <w:r>
        <w:rPr>
          <w:rFonts w:ascii="Calibri" w:cs="Calibri" w:eastAsia="Calibri" w:hAnsi="Calibri"/>
          <w:color w:val="6B6960"/>
          <w:sz w:val="18"/>
          <w:szCs w:val="18"/>
        </w:rPr>
        <w:t xml:space="preserve">Hook type: Reversal + Intimate Detail</w:t>
      </w:r>
    </w:p>
    <w:p>
      <w:pPr>
        <w:pBdr>
          <w:left w:val="single" w:color="2C6E9E" w:sz="6" w:space="8"/>
        </w:pBdr>
        <w:shd w:fill="EDF5FB" w:val="clear"/>
        <w:spacing w:after="40" w:before="200"/>
        <w:ind w:left="200"/>
      </w:pPr>
      <w:r>
        <w:rPr>
          <w:rFonts w:ascii="Calibri" w:cs="Calibri" w:eastAsia="Calibri" w:hAnsi="Calibri"/>
          <w:b/>
          <w:bCs/>
          <w:color w:val="6B6960"/>
          <w:spacing w:val="40"/>
          <w:sz w:val="16"/>
          <w:szCs w:val="16"/>
        </w:rPr>
        <w:t xml:space="preserve">OPTION C — “THE WATCH”</w:t>
      </w:r>
    </w:p>
    <w:p>
      <w:pPr>
        <w:pBdr>
          <w:left w:val="single" w:color="2C6E9E" w:sz="6" w:space="8"/>
        </w:pBdr>
        <w:shd w:fill="EDF5FB" w:val="clear"/>
        <w:spacing w:after="40" w:before="0"/>
        <w:ind w:left="200"/>
      </w:pPr>
      <w:r>
        <w:rPr>
          <w:rFonts w:ascii="Georgia" w:cs="Georgia" w:eastAsia="Georgia" w:hAnsi="Georgia"/>
          <w:i/>
          <w:iCs/>
          <w:color w:val="1A1A18"/>
          <w:sz w:val="26"/>
          <w:szCs w:val="26"/>
        </w:rPr>
        <w:t xml:space="preserve">“He doesn’t say anything anymore. He just watches. And I can feel him watching.”</w:t>
      </w:r>
    </w:p>
    <w:p>
      <w:pPr>
        <w:pBdr>
          <w:left w:val="single" w:color="2C6E9E" w:sz="6" w:space="8"/>
        </w:pBdr>
        <w:shd w:fill="EDF5FB" w:val="clear"/>
        <w:spacing w:after="120" w:before="0"/>
        <w:ind w:left="200"/>
      </w:pPr>
      <w:r>
        <w:rPr>
          <w:rFonts w:ascii="Calibri" w:cs="Calibri" w:eastAsia="Calibri" w:hAnsi="Calibri"/>
          <w:color w:val="6B6960"/>
          <w:sz w:val="18"/>
          <w:szCs w:val="18"/>
        </w:rPr>
        <w:t xml:space="preserve">Hook type: Silence + Emotional Tension</w:t>
      </w:r>
    </w:p>
    <w:p>
      <w:pPr>
        <w:pBdr>
          <w:bottom w:val="single" w:color="E0DED6" w:sz="1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6B6960"/>
          <w:spacing w:val="60"/>
          <w:sz w:val="18"/>
          <w:szCs w:val="18"/>
        </w:rPr>
        <w:t xml:space="preserve">6. BODY DIRECTION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18"/>
          <w:sz w:val="20"/>
          <w:szCs w:val="20"/>
        </w:rPr>
        <w:t xml:space="preserve">Story Shape:</w:t>
      </w:r>
      <w:r>
        <w:rPr>
          <w:rFonts w:ascii="Calibri" w:cs="Calibri" w:eastAsia="Calibri" w:hAnsi="Calibri"/>
          <w:color w:val="1A1A18"/>
          <w:sz w:val="20"/>
          <w:szCs w:val="20"/>
        </w:rPr>
        <w:t xml:space="preserve"> Linear narrative, first-person. ~1,400–2,200 words. The PARTNER is the emotional mirror.</w:t>
      </w:r>
    </w:p>
    <w:p>
      <w:pPr>
        <w:spacing w:after="80" w:before="80"/>
      </w:pPr>
      <w:r>
        <w:rPr>
          <w:rFonts w:ascii="Calibri" w:cs="Calibri" w:eastAsia="Calibri" w:hAnsi="Calibri"/>
          <w:color w:val="1A1A18"/>
          <w:sz w:val="20"/>
          <w:szCs w:val="20"/>
        </w:rPr>
        <w:t xml:space="preserve">Scenes:</w:t>
      </w:r>
    </w:p>
    <w:p>
      <w:pPr>
        <w:pBdr>
          <w:top w:val="single" w:color="E0DED6" w:sz="1"/>
          <w:bottom w:val="single" w:color="E0DED6" w:sz="1"/>
          <w:left w:val="single" w:color="E0DED6" w:sz="1"/>
          <w:right w:val="single" w:color="E0DED6" w:sz="1"/>
        </w:pBdr>
        <w:spacing w:after="100" w:before="100"/>
        <w:ind w:left="120" w:right="120"/>
      </w:pPr>
      <w:r>
        <w:rPr>
          <w:rFonts w:ascii="Calibri" w:cs="Calibri" w:eastAsia="Calibri" w:hAnsi="Calibri"/>
          <w:b/>
          <w:bCs/>
          <w:color w:val="1A1A18"/>
          <w:sz w:val="20"/>
          <w:szCs w:val="20"/>
        </w:rPr>
        <w:t xml:space="preserve">The Observation  </w:t>
      </w:r>
      <w:r>
        <w:rPr>
          <w:rFonts w:ascii="Calibri" w:cs="Calibri" w:eastAsia="Calibri" w:hAnsi="Calibri"/>
          <w:color w:val="6B6960"/>
          <w:sz w:val="20"/>
          <w:szCs w:val="20"/>
        </w:rPr>
        <w:t xml:space="preserve">The moment he says it. Her reaction. The gap between “I’m fine” and what she feels.</w:t>
      </w:r>
    </w:p>
    <w:p>
      <w:pPr>
        <w:pBdr>
          <w:top w:val="single" w:color="E0DED6" w:sz="1"/>
          <w:bottom w:val="single" w:color="E0DED6" w:sz="1"/>
          <w:left w:val="single" w:color="E0DED6" w:sz="1"/>
          <w:right w:val="single" w:color="E0DED6" w:sz="1"/>
        </w:pBdr>
        <w:spacing w:after="100" w:before="100"/>
        <w:ind w:left="120" w:right="120"/>
      </w:pPr>
      <w:r>
        <w:rPr>
          <w:rFonts w:ascii="Calibri" w:cs="Calibri" w:eastAsia="Calibri" w:hAnsi="Calibri"/>
          <w:b/>
          <w:bCs/>
          <w:color w:val="1A1A18"/>
          <w:sz w:val="20"/>
          <w:szCs w:val="20"/>
        </w:rPr>
        <w:t xml:space="preserve">The Inventory  </w:t>
      </w:r>
      <w:r>
        <w:rPr>
          <w:rFonts w:ascii="Calibri" w:cs="Calibri" w:eastAsia="Calibri" w:hAnsi="Calibri"/>
          <w:color w:val="6B6960"/>
          <w:sz w:val="20"/>
          <w:szCs w:val="20"/>
        </w:rPr>
        <w:t xml:space="preserve">She starts noticing what he’s been seeing. The other hand. The doors. An inventory of small surrenders.</w:t>
      </w:r>
    </w:p>
    <w:p>
      <w:pPr>
        <w:pBdr>
          <w:top w:val="single" w:color="E0DED6" w:sz="1"/>
          <w:bottom w:val="single" w:color="E0DED6" w:sz="1"/>
          <w:left w:val="single" w:color="E0DED6" w:sz="1"/>
          <w:right w:val="single" w:color="E0DED6" w:sz="1"/>
        </w:pBdr>
        <w:spacing w:after="100" w:before="100"/>
        <w:ind w:left="120" w:right="120"/>
      </w:pPr>
      <w:r>
        <w:rPr>
          <w:rFonts w:ascii="Calibri" w:cs="Calibri" w:eastAsia="Calibri" w:hAnsi="Calibri"/>
          <w:b/>
          <w:bCs/>
          <w:color w:val="1A1A18"/>
          <w:sz w:val="20"/>
          <w:szCs w:val="20"/>
        </w:rPr>
        <w:t xml:space="preserve">The Watching  </w:t>
      </w:r>
      <w:r>
        <w:rPr>
          <w:rFonts w:ascii="Calibri" w:cs="Calibri" w:eastAsia="Calibri" w:hAnsi="Calibri"/>
          <w:color w:val="6B6960"/>
          <w:sz w:val="20"/>
          <w:szCs w:val="20"/>
        </w:rPr>
        <w:t xml:space="preserve">He watches. Taking the mug off the shelf before she reaches. Small acts of accommodation. Each one lands like a verdict.</w:t>
      </w:r>
    </w:p>
    <w:p>
      <w:pPr>
        <w:pBdr>
          <w:top w:val="single" w:color="E0DED6" w:sz="1"/>
          <w:bottom w:val="single" w:color="E0DED6" w:sz="1"/>
          <w:left w:val="single" w:color="E0DED6" w:sz="1"/>
          <w:right w:val="single" w:color="E0DED6" w:sz="1"/>
        </w:pBdr>
        <w:spacing w:after="100" w:before="100"/>
        <w:ind w:left="120" w:right="120"/>
      </w:pPr>
      <w:r>
        <w:rPr>
          <w:rFonts w:ascii="Calibri" w:cs="Calibri" w:eastAsia="Calibri" w:hAnsi="Calibri"/>
          <w:b/>
          <w:bCs/>
          <w:color w:val="1A1A18"/>
          <w:sz w:val="20"/>
          <w:szCs w:val="20"/>
        </w:rPr>
        <w:t xml:space="preserve">The Silent Fight  </w:t>
      </w:r>
      <w:r>
        <w:rPr>
          <w:rFonts w:ascii="Calibri" w:cs="Calibri" w:eastAsia="Calibri" w:hAnsi="Calibri"/>
          <w:color w:val="6B6960"/>
          <w:sz w:val="20"/>
          <w:szCs w:val="20"/>
        </w:rPr>
        <w:t xml:space="preserve">She tells him to stop. The fight ends without resolution because the pain is the problem.</w:t>
      </w:r>
    </w:p>
    <w:p>
      <w:pPr>
        <w:pBdr>
          <w:top w:val="single" w:color="E0DED6" w:sz="1"/>
          <w:bottom w:val="single" w:color="E0DED6" w:sz="1"/>
          <w:left w:val="single" w:color="E0DED6" w:sz="1"/>
          <w:right w:val="single" w:color="E0DED6" w:sz="1"/>
        </w:pBdr>
        <w:spacing w:after="100" w:before="100"/>
        <w:ind w:left="120" w:right="120"/>
      </w:pPr>
      <w:r>
        <w:rPr>
          <w:rFonts w:ascii="Calibri" w:cs="Calibri" w:eastAsia="Calibri" w:hAnsi="Calibri"/>
          <w:b/>
          <w:bCs/>
          <w:color w:val="1A1A18"/>
          <w:sz w:val="20"/>
          <w:szCs w:val="20"/>
        </w:rPr>
        <w:t xml:space="preserve">The Discovery  </w:t>
      </w:r>
      <w:r>
        <w:rPr>
          <w:rFonts w:ascii="Calibri" w:cs="Calibri" w:eastAsia="Calibri" w:hAnsi="Calibri"/>
          <w:color w:val="6B6960"/>
          <w:sz w:val="20"/>
          <w:szCs w:val="20"/>
        </w:rPr>
        <w:t xml:space="preserve">Through someone whose partner made a similar observation. Discovery through the relationship channel.</w:t>
      </w:r>
    </w:p>
    <w:p>
      <w:pPr>
        <w:pBdr>
          <w:top w:val="single" w:color="E0DED6" w:sz="1"/>
          <w:bottom w:val="single" w:color="E0DED6" w:sz="1"/>
          <w:left w:val="single" w:color="E0DED6" w:sz="1"/>
          <w:right w:val="single" w:color="E0DED6" w:sz="1"/>
        </w:pBdr>
        <w:spacing w:after="100" w:before="100"/>
        <w:ind w:left="120" w:right="120"/>
      </w:pPr>
      <w:r>
        <w:rPr>
          <w:rFonts w:ascii="Calibri" w:cs="Calibri" w:eastAsia="Calibri" w:hAnsi="Calibri"/>
          <w:b/>
          <w:bCs/>
          <w:color w:val="1A1A18"/>
          <w:sz w:val="20"/>
          <w:szCs w:val="20"/>
        </w:rPr>
        <w:t xml:space="preserve">The Mechanism  </w:t>
      </w:r>
      <w:r>
        <w:rPr>
          <w:rFonts w:ascii="Calibri" w:cs="Calibri" w:eastAsia="Calibri" w:hAnsi="Calibri"/>
          <w:color w:val="6B6960"/>
          <w:sz w:val="20"/>
          <w:szCs w:val="20"/>
        </w:rPr>
        <w:t xml:space="preserve">The soft tissue explanation. The blood supply issue post-menopause. The inflammation loop.</w:t>
      </w:r>
    </w:p>
    <w:p>
      <w:pPr>
        <w:pBdr>
          <w:top w:val="single" w:color="E0DED6" w:sz="1"/>
          <w:bottom w:val="single" w:color="E0DED6" w:sz="1"/>
          <w:left w:val="single" w:color="E0DED6" w:sz="1"/>
          <w:right w:val="single" w:color="E0DED6" w:sz="1"/>
        </w:pBdr>
        <w:spacing w:after="100" w:before="100"/>
        <w:ind w:left="120" w:right="120"/>
      </w:pPr>
      <w:r>
        <w:rPr>
          <w:rFonts w:ascii="Calibri" w:cs="Calibri" w:eastAsia="Calibri" w:hAnsi="Calibri"/>
          <w:b/>
          <w:bCs/>
          <w:color w:val="1A1A18"/>
          <w:sz w:val="20"/>
          <w:szCs w:val="20"/>
        </w:rPr>
        <w:t xml:space="preserve">The Results  </w:t>
      </w:r>
      <w:r>
        <w:rPr>
          <w:rFonts w:ascii="Calibri" w:cs="Calibri" w:eastAsia="Calibri" w:hAnsi="Calibri"/>
          <w:color w:val="6B6960"/>
          <w:sz w:val="20"/>
          <w:szCs w:val="20"/>
        </w:rPr>
        <w:t xml:space="preserve">The first change is not the pain. It is that he stops watching. She reaches and he does not flinch. Results measured in relationship moments.</w:t>
      </w:r>
    </w:p>
    <w:p>
      <w:pPr>
        <w:pBdr>
          <w:top w:val="single" w:color="E0DED6" w:sz="1"/>
          <w:bottom w:val="single" w:color="E0DED6" w:sz="1"/>
          <w:left w:val="single" w:color="E0DED6" w:sz="1"/>
          <w:right w:val="single" w:color="E0DED6" w:sz="1"/>
        </w:pBdr>
        <w:spacing w:after="100" w:before="100"/>
        <w:ind w:left="120" w:right="120"/>
      </w:pPr>
      <w:r>
        <w:rPr>
          <w:rFonts w:ascii="Calibri" w:cs="Calibri" w:eastAsia="Calibri" w:hAnsi="Calibri"/>
          <w:b/>
          <w:bCs/>
          <w:color w:val="1A1A18"/>
          <w:sz w:val="20"/>
          <w:szCs w:val="20"/>
        </w:rPr>
        <w:t xml:space="preserve">The Echo  </w:t>
      </w:r>
      <w:r>
        <w:rPr>
          <w:rFonts w:ascii="Calibri" w:cs="Calibri" w:eastAsia="Calibri" w:hAnsi="Calibri"/>
          <w:color w:val="6B6960"/>
          <w:sz w:val="20"/>
          <w:szCs w:val="20"/>
        </w:rPr>
        <w:t xml:space="preserve">She reaches for the mug. He does not move. The most powerful transformation is the one that becomes invisible.</w:t>
      </w:r>
    </w:p>
    <w:p>
      <w:pPr>
        <w:pBdr>
          <w:bottom w:val="single" w:color="E0DED6" w:sz="1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6B6960"/>
          <w:spacing w:val="60"/>
          <w:sz w:val="18"/>
          <w:szCs w:val="18"/>
        </w:rPr>
        <w:t xml:space="preserve">7. THE MECHANISM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18"/>
          <w:sz w:val="20"/>
          <w:szCs w:val="20"/>
        </w:rPr>
        <w:t xml:space="preserve">Name:</w:t>
      </w:r>
      <w:r>
        <w:rPr>
          <w:rFonts w:ascii="Calibri" w:cs="Calibri" w:eastAsia="Calibri" w:hAnsi="Calibri"/>
          <w:color w:val="1A1A18"/>
          <w:sz w:val="20"/>
          <w:szCs w:val="20"/>
        </w:rPr>
        <w:t xml:space="preserve"> “Deep Tissue Reset” (adapted for shoulder)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18"/>
          <w:sz w:val="20"/>
          <w:szCs w:val="20"/>
        </w:rPr>
        <w:t xml:space="preserve">Current belief:</w:t>
      </w:r>
      <w:r>
        <w:rPr>
          <w:rFonts w:ascii="Calibri" w:cs="Calibri" w:eastAsia="Calibri" w:hAnsi="Calibri"/>
          <w:color w:val="1A1A18"/>
          <w:sz w:val="20"/>
          <w:szCs w:val="20"/>
        </w:rPr>
        <w:t xml:space="preserve"> “My shoulder is just getting worse. This is permanent.”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18"/>
          <w:sz w:val="20"/>
          <w:szCs w:val="20"/>
        </w:rPr>
        <w:t xml:space="preserve">Reframe:</w:t>
      </w:r>
      <w:r>
        <w:rPr>
          <w:rFonts w:ascii="Calibri" w:cs="Calibri" w:eastAsia="Calibri" w:hAnsi="Calibri"/>
          <w:color w:val="1A1A18"/>
          <w:sz w:val="20"/>
          <w:szCs w:val="20"/>
        </w:rPr>
        <w:t xml:space="preserve"> Soft tissue around the shoulder joint, inflamed and restricted. Rotator cuff tendons starved of blood supply post-menopause. Inflammation loop.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18"/>
          <w:sz w:val="20"/>
          <w:szCs w:val="20"/>
        </w:rPr>
        <w:t xml:space="preserve">Why nothing worked:</w:t>
      </w:r>
      <w:r>
        <w:rPr>
          <w:rFonts w:ascii="Calibri" w:cs="Calibri" w:eastAsia="Calibri" w:hAnsi="Calibri"/>
          <w:color w:val="1A1A18"/>
          <w:sz w:val="20"/>
          <w:szCs w:val="20"/>
        </w:rPr>
        <w:t xml:space="preserve"> Anti-inflammatories quiet the alarm. Physio loads angry tendons. Cortisone numbs temporarily. Ice on the surface. None reach the deep tissue layer. Not wrong. Shallow.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18"/>
          <w:sz w:val="20"/>
          <w:szCs w:val="20"/>
        </w:rPr>
        <w:t xml:space="preserve">What actually works:</w:t>
      </w:r>
      <w:r>
        <w:rPr>
          <w:rFonts w:ascii="Calibri" w:cs="Calibri" w:eastAsia="Calibri" w:hAnsi="Calibri"/>
          <w:color w:val="1A1A18"/>
          <w:sz w:val="20"/>
          <w:szCs w:val="20"/>
        </w:rPr>
        <w:t xml:space="preserve"> Red light (660nm) + near-infrared (850nm) + heat + vibration + compression. Four modalities together.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18"/>
          <w:sz w:val="20"/>
          <w:szCs w:val="20"/>
        </w:rPr>
        <w:t xml:space="preserve">New belief:</w:t>
      </w:r>
      <w:r>
        <w:rPr>
          <w:rFonts w:ascii="Calibri" w:cs="Calibri" w:eastAsia="Calibri" w:hAnsi="Calibri"/>
          <w:color w:val="1A1A18"/>
          <w:sz w:val="20"/>
          <w:szCs w:val="20"/>
        </w:rPr>
        <w:t xml:space="preserve"> “It was not permanent. It was tissue nobody was treating. And now he has stopped watching me move.”</w:t>
      </w:r>
    </w:p>
    <w:p>
      <w:pPr>
        <w:pBdr>
          <w:bottom w:val="single" w:color="E0DED6" w:sz="1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6B6960"/>
          <w:spacing w:val="60"/>
          <w:sz w:val="18"/>
          <w:szCs w:val="18"/>
        </w:rPr>
        <w:t xml:space="preserve">8. BEAT-BY-BEAT GUIDANCE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1200"/>
        <w:gridCol w:w="3800"/>
        <w:gridCol w:w="2800"/>
      </w:tblGrid>
      <w:tr>
        <w:tc>
          <w:tcPr>
            <w:tcW w:type="dxa" w:w="14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3A3832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BEAT</w:t>
            </w:r>
          </w:p>
        </w:tc>
        <w:tc>
          <w:tcPr>
            <w:tcW w:type="dxa" w:w="12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3A3832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3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3A3832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DIRECTION</w:t>
            </w:r>
          </w:p>
        </w:tc>
        <w:tc>
          <w:tcPr>
            <w:tcW w:type="dxa" w:w="2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3A3832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WHY</w:t>
            </w:r>
          </w:p>
        </w:tc>
      </w:tr>
      <w:tr>
        <w:tc>
          <w:tcPr>
            <w:tcW w:type="dxa" w:w="14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1. Hook</w:t>
            </w:r>
          </w:p>
        </w:tc>
        <w:tc>
          <w:tcPr>
            <w:tcW w:type="dxa" w:w="12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ADAPT</w:t>
            </w:r>
          </w:p>
        </w:tc>
        <w:tc>
          <w:tcPr>
            <w:tcW w:type="dxa" w:w="3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Relationship entry. Open with the partner’s observation.</w:t>
            </w:r>
          </w:p>
        </w:tc>
        <w:tc>
          <w:tcPr>
            <w:tcW w:type="dxa" w:w="2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AD 2’s hook is personal contradiction. This works through relationship observation.</w:t>
            </w:r>
          </w:p>
        </w:tc>
      </w:tr>
      <w:tr>
        <w:tc>
          <w:tcPr>
            <w:tcW w:type="dxa" w:w="14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2. Credential</w:t>
            </w:r>
          </w:p>
        </w:tc>
        <w:tc>
          <w:tcPr>
            <w:tcW w:type="dxa" w:w="12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CHANGE</w:t>
            </w:r>
          </w:p>
        </w:tc>
        <w:tc>
          <w:tcPr>
            <w:tcW w:type="dxa" w:w="3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New narrator. Woman, 52–65, long-term relationship (20+ years).</w:t>
            </w:r>
          </w:p>
        </w:tc>
        <w:tc>
          <w:tcPr>
            <w:tcW w:type="dxa" w:w="2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Relationship story that involves shoulder pain.</w:t>
            </w:r>
          </w:p>
        </w:tc>
      </w:tr>
      <w:tr>
        <w:tc>
          <w:tcPr>
            <w:tcW w:type="dxa" w:w="14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3. Personal Crisis</w:t>
            </w:r>
          </w:p>
        </w:tc>
        <w:tc>
          <w:tcPr>
            <w:tcW w:type="dxa" w:w="12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CHANGE FRAMING</w:t>
            </w:r>
          </w:p>
        </w:tc>
        <w:tc>
          <w:tcPr>
            <w:tcW w:type="dxa" w:w="3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The crisis is being SEEN in pain. The gap between “I’m fine” and what he sees.</w:t>
            </w:r>
          </w:p>
        </w:tc>
        <w:tc>
          <w:tcPr>
            <w:tcW w:type="dxa" w:w="2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She was managing until he said something.</w:t>
            </w:r>
          </w:p>
        </w:tc>
      </w:tr>
      <w:tr>
        <w:tc>
          <w:tcPr>
            <w:tcW w:type="dxa" w:w="14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4. Pattern</w:t>
            </w:r>
          </w:p>
        </w:tc>
        <w:tc>
          <w:tcPr>
            <w:tcW w:type="dxa" w:w="12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ADAPT</w:t>
            </w:r>
          </w:p>
        </w:tc>
        <w:tc>
          <w:tcPr>
            <w:tcW w:type="dxa" w:w="3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The medical system treats it as “just inflammation.” Nobody measures the emotional weight of being watched.</w:t>
            </w:r>
          </w:p>
        </w:tc>
        <w:tc>
          <w:tcPr>
            <w:tcW w:type="dxa" w:w="2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The RELATIONSHIP impact is never addressed.</w:t>
            </w:r>
          </w:p>
        </w:tc>
      </w:tr>
      <w:tr>
        <w:tc>
          <w:tcPr>
            <w:tcW w:type="dxa" w:w="14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5. Lies / Myths</w:t>
            </w:r>
          </w:p>
        </w:tc>
        <w:tc>
          <w:tcPr>
            <w:tcW w:type="dxa" w:w="12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KEEP ABSENT</w:t>
            </w:r>
          </w:p>
        </w:tc>
        <w:tc>
          <w:tcPr>
            <w:tcW w:type="dxa" w:w="3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No myth-busting section. Myths implicit in failed attempts.</w:t>
            </w:r>
          </w:p>
        </w:tc>
        <w:tc>
          <w:tcPr>
            <w:tcW w:type="dxa" w:w="2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Would break the intimate narrative voice.</w:t>
            </w:r>
          </w:p>
        </w:tc>
      </w:tr>
      <w:tr>
        <w:tc>
          <w:tcPr>
            <w:tcW w:type="dxa" w:w="14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6. Failed Attempts</w:t>
            </w:r>
          </w:p>
        </w:tc>
        <w:tc>
          <w:tcPr>
            <w:tcW w:type="dxa" w:w="12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ADAPT</w:t>
            </w:r>
          </w:p>
        </w:tc>
        <w:tc>
          <w:tcPr>
            <w:tcW w:type="dxa" w:w="3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The compensations: the other hand, the lower shelf, the front-close bras. Quiet adaptations her partner can see.</w:t>
            </w:r>
          </w:p>
        </w:tc>
        <w:tc>
          <w:tcPr>
            <w:tcW w:type="dxa" w:w="2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Not products that failed. Quiet accommodations.</w:t>
            </w:r>
          </w:p>
        </w:tc>
      </w:tr>
      <w:tr>
        <w:tc>
          <w:tcPr>
            <w:tcW w:type="dxa" w:w="14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7. Emotional Low</w:t>
            </w:r>
          </w:p>
        </w:tc>
        <w:tc>
          <w:tcPr>
            <w:tcW w:type="dxa" w:w="12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ADAPT</w:t>
            </w:r>
          </w:p>
        </w:tc>
        <w:tc>
          <w:tcPr>
            <w:tcW w:type="dxa" w:w="3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He reaches for something BEFORE she does. Being pre-empted by love.</w:t>
            </w:r>
          </w:p>
        </w:tc>
        <w:tc>
          <w:tcPr>
            <w:tcW w:type="dxa" w:w="2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Being accommodated is devastating proof of fragility.</w:t>
            </w:r>
          </w:p>
        </w:tc>
      </w:tr>
      <w:tr>
        <w:tc>
          <w:tcPr>
            <w:tcW w:type="dxa" w:w="14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8. Bridge / Discovery</w:t>
            </w:r>
          </w:p>
        </w:tc>
        <w:tc>
          <w:tcPr>
            <w:tcW w:type="dxa" w:w="12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CHANGE</w:t>
            </w:r>
          </w:p>
        </w:tc>
        <w:tc>
          <w:tcPr>
            <w:tcW w:type="dxa" w:w="3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Through someone whose partner made a similar observation. “My husband said the same thing to me.”</w:t>
            </w:r>
          </w:p>
        </w:tc>
        <w:tc>
          <w:tcPr>
            <w:tcW w:type="dxa" w:w="2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Emotional bridge is shared experience of being watched.</w:t>
            </w:r>
          </w:p>
        </w:tc>
      </w:tr>
      <w:tr>
        <w:tc>
          <w:tcPr>
            <w:tcW w:type="dxa" w:w="14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9. Mechanism Intro</w:t>
            </w:r>
          </w:p>
        </w:tc>
        <w:tc>
          <w:tcPr>
            <w:tcW w:type="dxa" w:w="12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KEEP</w:t>
            </w:r>
          </w:p>
        </w:tc>
        <w:tc>
          <w:tcPr>
            <w:tcW w:type="dxa" w:w="3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Deep Tissue Reset. Why the restriction developed. Not structural deterioration but inflamed, starved soft tissue.</w:t>
            </w:r>
          </w:p>
        </w:tc>
        <w:tc>
          <w:tcPr>
            <w:tcW w:type="dxa" w:w="2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Transition from emotional story to understanding.</w:t>
            </w:r>
          </w:p>
        </w:tc>
      </w:tr>
      <w:tr>
        <w:tc>
          <w:tcPr>
            <w:tcW w:type="dxa" w:w="14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10. Current Belief</w:t>
            </w:r>
          </w:p>
        </w:tc>
        <w:tc>
          <w:tcPr>
            <w:tcW w:type="dxa" w:w="12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ADAPT</w:t>
            </w:r>
          </w:p>
        </w:tc>
        <w:tc>
          <w:tcPr>
            <w:tcW w:type="dxa" w:w="3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“My shoulder is just getting worse. And he can see it getting worse.”</w:t>
            </w:r>
          </w:p>
        </w:tc>
        <w:tc>
          <w:tcPr>
            <w:tcW w:type="dxa" w:w="2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Both medical and emotional.</w:t>
            </w:r>
          </w:p>
        </w:tc>
      </w:tr>
      <w:tr>
        <w:tc>
          <w:tcPr>
            <w:tcW w:type="dxa" w:w="14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11. Reframe</w:t>
            </w:r>
          </w:p>
        </w:tc>
        <w:tc>
          <w:tcPr>
            <w:tcW w:type="dxa" w:w="12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KEEP</w:t>
            </w:r>
          </w:p>
        </w:tc>
        <w:tc>
          <w:tcPr>
            <w:tcW w:type="dxa" w:w="3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Soft tissue. Rotator cuff tendons starved. Inflammation loop. Treatable. Not permanent.</w:t>
            </w:r>
          </w:p>
        </w:tc>
        <w:tc>
          <w:tcPr>
            <w:tcW w:type="dxa" w:w="2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Core reframe works.</w:t>
            </w:r>
          </w:p>
        </w:tc>
      </w:tr>
      <w:tr>
        <w:tc>
          <w:tcPr>
            <w:tcW w:type="dxa" w:w="14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12. Why Nothing Worked</w:t>
            </w:r>
          </w:p>
        </w:tc>
        <w:tc>
          <w:tcPr>
            <w:tcW w:type="dxa" w:w="12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KEEP</w:t>
            </w:r>
          </w:p>
        </w:tc>
        <w:tc>
          <w:tcPr>
            <w:tcW w:type="dxa" w:w="3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Anti-inflammatories, physio, cortisone, ice — none reach deep tissue. Not wrong. Shallow.</w:t>
            </w:r>
          </w:p>
        </w:tc>
        <w:tc>
          <w:tcPr>
            <w:tcW w:type="dxa" w:w="2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Validates her experience.</w:t>
            </w:r>
          </w:p>
        </w:tc>
      </w:tr>
      <w:tr>
        <w:tc>
          <w:tcPr>
            <w:tcW w:type="dxa" w:w="14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13. What Actually Works</w:t>
            </w:r>
          </w:p>
        </w:tc>
        <w:tc>
          <w:tcPr>
            <w:tcW w:type="dxa" w:w="12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KEEP</w:t>
            </w:r>
          </w:p>
        </w:tc>
        <w:tc>
          <w:tcPr>
            <w:tcW w:type="dxa" w:w="3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Red light 660nm + near-infrared 850nm + heat + vibration + compression.</w:t>
            </w:r>
          </w:p>
        </w:tc>
        <w:tc>
          <w:tcPr>
            <w:tcW w:type="dxa" w:w="2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Proven mechanism.</w:t>
            </w:r>
          </w:p>
        </w:tc>
      </w:tr>
      <w:tr>
        <w:tc>
          <w:tcPr>
            <w:tcW w:type="dxa" w:w="14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14. Product Intro</w:t>
            </w:r>
          </w:p>
        </w:tc>
        <w:tc>
          <w:tcPr>
            <w:tcW w:type="dxa" w:w="12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ADAPT</w:t>
            </w:r>
          </w:p>
        </w:tc>
        <w:tc>
          <w:tcPr>
            <w:tcW w:type="dxa" w:w="3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The belt arrives through the friend, the moment she decided compensations were not enough.</w:t>
            </w:r>
          </w:p>
        </w:tc>
        <w:tc>
          <w:tcPr>
            <w:tcW w:type="dxa" w:w="2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Natural discovery. Let it appear.</w:t>
            </w:r>
          </w:p>
        </w:tc>
      </w:tr>
      <w:tr>
        <w:tc>
          <w:tcPr>
            <w:tcW w:type="dxa" w:w="14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15. Social Proof</w:t>
            </w:r>
          </w:p>
        </w:tc>
        <w:tc>
          <w:tcPr>
            <w:tcW w:type="dxa" w:w="12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ADAPT</w:t>
            </w:r>
          </w:p>
        </w:tc>
        <w:tc>
          <w:tcPr>
            <w:tcW w:type="dxa" w:w="3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Dr. David Sime (22 years). Other women whose partners noticed. A community of women who have been watched.</w:t>
            </w:r>
          </w:p>
        </w:tc>
        <w:tc>
          <w:tcPr>
            <w:tcW w:type="dxa" w:w="2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Community, not customer reviews.</w:t>
            </w:r>
          </w:p>
        </w:tc>
      </w:tr>
      <w:tr>
        <w:tc>
          <w:tcPr>
            <w:tcW w:type="dxa" w:w="14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16. Results</w:t>
            </w:r>
          </w:p>
        </w:tc>
        <w:tc>
          <w:tcPr>
            <w:tcW w:type="dxa" w:w="12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ADAPT</w:t>
            </w:r>
          </w:p>
        </w:tc>
        <w:tc>
          <w:tcPr>
            <w:tcW w:type="dxa" w:w="3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He stops watching. She reaches and he does not flinch. Results measured in relationship moments.</w:t>
            </w:r>
          </w:p>
        </w:tc>
        <w:tc>
          <w:tcPr>
            <w:tcW w:type="dxa" w:w="2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Transformation is relational.</w:t>
            </w:r>
          </w:p>
        </w:tc>
      </w:tr>
      <w:tr>
        <w:tc>
          <w:tcPr>
            <w:tcW w:type="dxa" w:w="14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17. Future Pacing</w:t>
            </w:r>
          </w:p>
        </w:tc>
        <w:tc>
          <w:tcPr>
            <w:tcW w:type="dxa" w:w="12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ADAPT</w:t>
            </w:r>
          </w:p>
        </w:tc>
        <w:tc>
          <w:tcPr>
            <w:tcW w:type="dxa" w:w="3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She reaches for the mug. He does not move. Her movement becomes unremarkable again.</w:t>
            </w:r>
          </w:p>
        </w:tc>
        <w:tc>
          <w:tcPr>
            <w:tcW w:type="dxa" w:w="2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Return to invisibility is highest form of healing.</w:t>
            </w:r>
          </w:p>
        </w:tc>
      </w:tr>
      <w:tr>
        <w:tc>
          <w:tcPr>
            <w:tcW w:type="dxa" w:w="14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18. Risk Reversal</w:t>
            </w:r>
          </w:p>
        </w:tc>
        <w:tc>
          <w:tcPr>
            <w:tcW w:type="dxa" w:w="12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KEEP</w:t>
            </w:r>
          </w:p>
        </w:tc>
        <w:tc>
          <w:tcPr>
            <w:tcW w:type="dxa" w:w="3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30-day money-back. “If the watching does not stop, send it back.”</w:t>
            </w:r>
          </w:p>
        </w:tc>
        <w:tc>
          <w:tcPr>
            <w:tcW w:type="dxa" w:w="2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Emotional language, not transactional.</w:t>
            </w:r>
          </w:p>
        </w:tc>
      </w:tr>
      <w:tr>
        <w:tc>
          <w:tcPr>
            <w:tcW w:type="dxa" w:w="14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19. CTA</w:t>
            </w:r>
          </w:p>
        </w:tc>
        <w:tc>
          <w:tcPr>
            <w:tcW w:type="dxa" w:w="12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ADAPT</w:t>
            </w:r>
          </w:p>
        </w:tc>
        <w:tc>
          <w:tcPr>
            <w:tcW w:type="dxa" w:w="3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“Move like nobody is watching. Because soon, nobody will need to.” Link to hearthealthco.com.au/pages/sb1.</w:t>
            </w:r>
          </w:p>
        </w:tc>
        <w:tc>
          <w:tcPr>
            <w:tcW w:type="dxa" w:w="2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50" w:before="5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8"/>
                <w:sz w:val="18"/>
                <w:szCs w:val="18"/>
              </w:rPr>
              <w:t xml:space="preserve">The CTA should feel like an exhale.</w:t>
            </w:r>
          </w:p>
        </w:tc>
      </w:tr>
    </w:tbl>
    <w:p>
      <w:pPr>
        <w:pBdr>
          <w:bottom w:val="single" w:color="E0DED6" w:sz="1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6B6960"/>
          <w:spacing w:val="60"/>
          <w:sz w:val="18"/>
          <w:szCs w:val="18"/>
        </w:rPr>
        <w:t xml:space="preserve">9. PERSONA &amp; VOICE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18"/>
          <w:sz w:val="20"/>
          <w:szCs w:val="20"/>
        </w:rPr>
        <w:t xml:space="preserve">Narrator:</w:t>
      </w:r>
      <w:r>
        <w:rPr>
          <w:rFonts w:ascii="Calibri" w:cs="Calibri" w:eastAsia="Calibri" w:hAnsi="Calibri"/>
          <w:color w:val="1A1A18"/>
          <w:sz w:val="20"/>
          <w:szCs w:val="20"/>
        </w:rPr>
        <w:t xml:space="preserve"> New narrator, not from any existing ad. Age 54–64, long-term marriage (20+ years).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18"/>
          <w:sz w:val="20"/>
          <w:szCs w:val="20"/>
        </w:rPr>
        <w:t xml:space="preserve">Voice:</w:t>
      </w:r>
      <w:r>
        <w:rPr>
          <w:rFonts w:ascii="Calibri" w:cs="Calibri" w:eastAsia="Calibri" w:hAnsi="Calibri"/>
          <w:color w:val="1A1A18"/>
          <w:sz w:val="20"/>
          <w:szCs w:val="20"/>
        </w:rPr>
        <w:t xml:space="preserve"> More emotionally exposed. She is telling a relationship story that involves pain. Vulnerability is the tone.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18"/>
          <w:sz w:val="20"/>
          <w:szCs w:val="20"/>
        </w:rPr>
        <w:t xml:space="preserve">What she sounds like:</w:t>
      </w:r>
      <w:r>
        <w:rPr>
          <w:rFonts w:ascii="Calibri" w:cs="Calibri" w:eastAsia="Calibri" w:hAnsi="Calibri"/>
          <w:color w:val="1A1A18"/>
          <w:sz w:val="20"/>
          <w:szCs w:val="20"/>
        </w:rPr>
        <w:t xml:space="preserve"> A woman telling a friend something she hasn’t told anyone else. Quiet. Honest. A little raw.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18"/>
          <w:sz w:val="20"/>
          <w:szCs w:val="20"/>
        </w:rPr>
        <w:t xml:space="preserve">What she does NOT sound like:</w:t>
      </w:r>
      <w:r>
        <w:rPr>
          <w:rFonts w:ascii="Calibri" w:cs="Calibri" w:eastAsia="Calibri" w:hAnsi="Calibri"/>
          <w:color w:val="1A1A18"/>
          <w:sz w:val="20"/>
          <w:szCs w:val="20"/>
        </w:rPr>
        <w:t xml:space="preserve"> A testimonial. A product reviewer. She is sharing an experience.</w:t>
      </w:r>
    </w:p>
    <w:p>
      <w:pPr>
        <w:spacing w:before="400"/>
      </w:pPr>
    </w:p>
    <w:p>
      <w:pPr>
        <w:shd w:fill="2C6E9E" w:val="clear"/>
        <w:spacing w:after="0"/>
        <w:ind w:left="120"/>
      </w:pPr>
      <w:r>
        <w:rPr>
          <w:rFonts w:ascii="Calibri" w:cs="Calibri" w:eastAsia="Calibri" w:hAnsi="Calibri"/>
          <w:b/>
          <w:bCs/>
          <w:color w:val="FFFFFF"/>
          <w:spacing w:val="60"/>
          <w:sz w:val="18"/>
          <w:szCs w:val="18"/>
        </w:rPr>
        <w:t xml:space="preserve">SH-NEW-27 — PRODUCTION DELIVERABLES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5F4F0" w:val="clear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6B6960"/>
                <w:sz w:val="18"/>
                <w:szCs w:val="18"/>
              </w:rPr>
              <w:t xml:space="preserve">Concept</w:t>
            </w:r>
          </w:p>
        </w:tc>
        <w:tc>
          <w:tcPr>
            <w:tcW w:type="dxa" w:w="64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She Does Things Carefully Now</w:t>
            </w:r>
          </w:p>
        </w:tc>
      </w:tr>
      <w:tr>
        <w:tc>
          <w:tcPr>
            <w:tcW w:type="dxa" w:w="2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5F4F0" w:val="clear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6B6960"/>
                <w:sz w:val="18"/>
                <w:szCs w:val="18"/>
              </w:rPr>
              <w:t xml:space="preserve">Type</w:t>
            </w:r>
          </w:p>
        </w:tc>
        <w:tc>
          <w:tcPr>
            <w:tcW w:type="dxa" w:w="64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5F4F0" w:val="clear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6B6960"/>
                <w:sz w:val="18"/>
                <w:szCs w:val="18"/>
              </w:rPr>
              <w:t xml:space="preserve">Format</w:t>
            </w:r>
          </w:p>
        </w:tc>
        <w:tc>
          <w:tcPr>
            <w:tcW w:type="dxa" w:w="64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#46 Text, long-form (~1,400–2,200 words)</w:t>
            </w:r>
          </w:p>
        </w:tc>
      </w:tr>
      <w:tr>
        <w:tc>
          <w:tcPr>
            <w:tcW w:type="dxa" w:w="2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5F4F0" w:val="clear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6B6960"/>
                <w:sz w:val="18"/>
                <w:szCs w:val="18"/>
              </w:rPr>
              <w:t xml:space="preserve">Product</w:t>
            </w:r>
          </w:p>
        </w:tc>
        <w:tc>
          <w:tcPr>
            <w:tcW w:type="dxa" w:w="64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4-in-1 Shoulder Therapy Belt • $149.99 AUD</w:t>
            </w:r>
          </w:p>
        </w:tc>
      </w:tr>
      <w:tr>
        <w:tc>
          <w:tcPr>
            <w:tcW w:type="dxa" w:w="2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5F4F0" w:val="clear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6B6960"/>
                <w:sz w:val="18"/>
                <w:szCs w:val="18"/>
              </w:rPr>
              <w:t xml:space="preserve">POV</w:t>
            </w:r>
          </w:p>
        </w:tc>
        <w:tc>
          <w:tcPr>
            <w:tcW w:type="dxa" w:w="64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First person, woman narrator (age 54–64)</w:t>
            </w:r>
          </w:p>
        </w:tc>
      </w:tr>
      <w:tr>
        <w:tc>
          <w:tcPr>
            <w:tcW w:type="dxa" w:w="2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5F4F0" w:val="clear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6B6960"/>
                <w:sz w:val="18"/>
                <w:szCs w:val="18"/>
              </w:rPr>
              <w:t xml:space="preserve">Tone</w:t>
            </w:r>
          </w:p>
        </w:tc>
        <w:tc>
          <w:tcPr>
            <w:tcW w:type="dxa" w:w="64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Emotionally exposed, vulnerable, relationship-centred</w:t>
            </w:r>
          </w:p>
        </w:tc>
      </w:tr>
      <w:tr>
        <w:tc>
          <w:tcPr>
            <w:tcW w:type="dxa" w:w="2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5F4F0" w:val="clear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6B6960"/>
                <w:sz w:val="18"/>
                <w:szCs w:val="18"/>
              </w:rPr>
              <w:t xml:space="preserve">Page</w:t>
            </w:r>
          </w:p>
        </w:tc>
        <w:tc>
          <w:tcPr>
            <w:tcW w:type="dxa" w:w="64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Maggie Smith</w:t>
            </w:r>
          </w:p>
        </w:tc>
      </w:tr>
      <w:tr>
        <w:tc>
          <w:tcPr>
            <w:tcW w:type="dxa" w:w="2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5F4F0" w:val="clear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6B6960"/>
                <w:sz w:val="18"/>
                <w:szCs w:val="18"/>
              </w:rPr>
              <w:t xml:space="preserve">Destination URL</w:t>
            </w:r>
          </w:p>
        </w:tc>
        <w:tc>
          <w:tcPr>
            <w:tcW w:type="dxa" w:w="64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hearthealthco.com.au/pages/sb1</w:t>
            </w:r>
          </w:p>
        </w:tc>
      </w:tr>
      <w:tr>
        <w:tc>
          <w:tcPr>
            <w:tcW w:type="dxa" w:w="2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5F4F0" w:val="clear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6B6960"/>
                <w:sz w:val="18"/>
                <w:szCs w:val="18"/>
              </w:rPr>
              <w:t xml:space="preserve">Mechanism</w:t>
            </w:r>
          </w:p>
        </w:tc>
        <w:tc>
          <w:tcPr>
            <w:tcW w:type="dxa" w:w="64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Deep Tissue Reset (adapted for shoulder)</w:t>
            </w:r>
          </w:p>
        </w:tc>
      </w:tr>
      <w:tr>
        <w:tc>
          <w:tcPr>
            <w:tcW w:type="dxa" w:w="2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5F4F0" w:val="clear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6B6960"/>
                <w:sz w:val="18"/>
                <w:szCs w:val="18"/>
              </w:rPr>
              <w:t xml:space="preserve">Key Specs</w:t>
            </w:r>
          </w:p>
        </w:tc>
        <w:tc>
          <w:tcPr>
            <w:tcW w:type="dxa" w:w="64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Red light 660nm + Near-infrared 850nm + Heat + Vibration</w:t>
            </w:r>
          </w:p>
        </w:tc>
      </w:tr>
      <w:tr>
        <w:tc>
          <w:tcPr>
            <w:tcW w:type="dxa" w:w="2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5F4F0" w:val="clear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6B6960"/>
                <w:sz w:val="18"/>
                <w:szCs w:val="18"/>
              </w:rPr>
              <w:t xml:space="preserve">Guarantee</w:t>
            </w:r>
          </w:p>
        </w:tc>
        <w:tc>
          <w:tcPr>
            <w:tcW w:type="dxa" w:w="64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30-day money-back</w:t>
            </w:r>
          </w:p>
        </w:tc>
      </w:tr>
      <w:tr>
        <w:tc>
          <w:tcPr>
            <w:tcW w:type="dxa" w:w="2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5F4F0" w:val="clear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6B6960"/>
                <w:sz w:val="18"/>
                <w:szCs w:val="18"/>
              </w:rPr>
              <w:t xml:space="preserve">LP Persona</w:t>
            </w:r>
          </w:p>
        </w:tc>
        <w:tc>
          <w:tcPr>
            <w:tcW w:type="dxa" w:w="64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Dr. David Sime (22 years experience)</w:t>
            </w:r>
          </w:p>
        </w:tc>
      </w:tr>
      <w:tr>
        <w:tc>
          <w:tcPr>
            <w:tcW w:type="dxa" w:w="2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5F4F0" w:val="clear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6B6960"/>
                <w:sz w:val="18"/>
                <w:szCs w:val="18"/>
              </w:rPr>
              <w:t xml:space="preserve">Source DNA</w:t>
            </w:r>
          </w:p>
        </w:tc>
        <w:tc>
          <w:tcPr>
            <w:tcW w:type="dxa" w:w="64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AD 2 “The 14 Month” — 30 purchases, 4x ROAS</w:t>
            </w:r>
          </w:p>
        </w:tc>
      </w:tr>
      <w:tr>
        <w:tc>
          <w:tcPr>
            <w:tcW w:type="dxa" w:w="28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5F4F0" w:val="clear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6B6960"/>
                <w:sz w:val="18"/>
                <w:szCs w:val="18"/>
              </w:rPr>
              <w:t xml:space="preserve">Risk Level</w:t>
            </w:r>
          </w:p>
        </w:tc>
        <w:tc>
          <w:tcPr>
            <w:tcW w:type="dxa" w:w="6400"/>
            <w:tcBorders>
              <w:top w:val="single" w:color="E0DED6" w:sz="1"/>
              <w:left w:val="single" w:color="E0DED6" w:sz="1"/>
              <w:bottom w:val="single" w:color="E0DED6" w:sz="1"/>
              <w:right w:val="single" w:color="E0DED6" w:sz="1"/>
            </w:tcBorders>
            <w:shd w:fill="FFFFFF" w:val="clear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color w:val="1A1A18"/>
                <w:sz w:val="20"/>
                <w:szCs w:val="20"/>
              </w:rPr>
              <w:t xml:space="preserve">Lower Risk</w:t>
            </w:r>
          </w:p>
        </w:tc>
      </w:tr>
    </w:tbl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2026-08-18T11:42:11.590Z</dcterms:created>
  <dcterms:modified xsi:type="dcterms:W3CDTF">2026-08-18T11:42:11.590Z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