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Helvetica" w:cs="Helvetica" w:eastAsia="Helvetica" w:hAnsi="Helvetica"/>
          <w:b/>
          <w:bCs/>
          <w:i w:val="false"/>
          <w:iCs w:val="false"/>
          <w:sz w:val="36"/>
          <w:szCs w:val="36"/>
        </w:rPr>
        <w:t xml:space="preserve">HIP-NEW-16: The Drawer of Things That Failed</w:t>
      </w:r>
    </w:p>
    <w:p>
      <w:pPr>
        <w:spacing w:after="40" w:before="0"/>
      </w:pPr>
      <w:r>
        <w:rPr>
          <w:rFonts w:ascii="Helvetica" w:cs="Helvetica" w:eastAsia="Helvetica" w:hAnsi="Helvetica"/>
          <w:b w:val="false"/>
          <w:bCs w:val="false"/>
          <w:i/>
          <w:iCs/>
          <w:color w:val="666666"/>
          <w:sz w:val="24"/>
          <w:szCs w:val="24"/>
        </w:rPr>
        <w:t xml:space="preserve">Native Text Ad Script Brief --- Facebook</w:t>
      </w:r>
    </w:p>
    <w:p>
      <w:pPr>
        <w:spacing w:after="200" w:before="0"/>
      </w:pPr>
      <w:r>
        <w:rPr>
          <w:rFonts w:ascii="Helvetica" w:cs="Helvetica" w:eastAsia="Helvetica" w:hAnsi="Helvetica"/>
          <w:b w:val="false"/>
          <w:bCs w:val="false"/>
          <w:i w:val="false"/>
          <w:iCs w:val="false"/>
          <w:color w:val="666666"/>
          <w:sz w:val="22"/>
          <w:szCs w:val="22"/>
        </w:rPr>
        <w:t xml:space="preserve">4-in-1 Hip Therapy Belt --- hearthealthco.com.au</w:t>
      </w:r>
    </w:p>
    <w:p>
      <w:pPr>
        <w:spacing w:after="160" w:before="240"/>
      </w:pPr>
      <w:r>
        <w:rPr>
          <w:rFonts w:ascii="Helvetica" w:cs="Helvetica" w:eastAsia="Helvetica" w:hAnsi="Helvetica"/>
          <w:b/>
          <w:bCs/>
          <w:i w:val="false"/>
          <w:iCs w:val="false"/>
          <w:sz w:val="28"/>
          <w:szCs w:val="28"/>
        </w:rPr>
        <w:t xml:space="preserve">1. Summary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Concept Name</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The Drawer of Things That Failed</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Format</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#46 Text, long-form (~1,400--2,200 words)</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Type</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NEW (new concept using winning DNA structure)</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Angle</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The Drawer of Things That Failed --- every chronic hip pain sufferer has a drawer/shelf/bag full of products they bought that promised relief and delivered nothing. The drawer is a graveyard of hope and wasted money.</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ICP</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The Failed Solution Veteran --- someone who has tried 5--10+ products/treatments and stopped believing anything works</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Sophistication</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Stage 4 --- Market has seen mechanisms, needs proof through emotional truth</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Risk Level</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Lower Risk (uses proven AD 2 beat structure)</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Product</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4-in-1 Hip Therapy Belt ($149.99 AUD)</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Source DNA</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AD 2 "The 14 Month" --- 30 purchases, 4x ROAS (beat structure template)</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FB Inspiration</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AD 2: https://www.facebook.com/61578413557917/posts/122179603544947118/</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Also Reference</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AD 8: https://www.facebook.com/61578413557917/posts/122182109168947118/</w:t>
            </w:r>
          </w:p>
        </w:tc>
      </w:tr>
    </w:tbl>
    <w:p>
      <w:pPr>
        <w:spacing w:after="160" w:before="240"/>
      </w:pPr>
      <w:r>
        <w:rPr>
          <w:rFonts w:ascii="Helvetica" w:cs="Helvetica" w:eastAsia="Helvetica" w:hAnsi="Helvetica"/>
          <w:b/>
          <w:bCs/>
          <w:i w:val="false"/>
          <w:iCs w:val="false"/>
          <w:sz w:val="28"/>
          <w:szCs w:val="28"/>
        </w:rPr>
        <w:t xml:space="preserve">2. The Job</w:t>
      </w:r>
    </w:p>
    <w:p>
      <w:pPr>
        <w:spacing w:after="120" w:before="160"/>
      </w:pPr>
      <w:r>
        <w:rPr>
          <w:rFonts w:ascii="Helvetica" w:cs="Helvetica" w:eastAsia="Helvetica" w:hAnsi="Helvetica"/>
          <w:b/>
          <w:bCs/>
          <w:i w:val="false"/>
          <w:iCs w:val="false"/>
          <w:sz w:val="24"/>
          <w:szCs w:val="24"/>
        </w:rPr>
        <w:t xml:space="preserve">What This Concept Tests</w:t>
      </w:r>
    </w:p>
    <w:p>
      <w:pPr>
        <w:spacing w:after="120" w:before="0"/>
      </w:pPr>
      <w:r>
        <w:rPr>
          <w:rFonts w:ascii="Helvetica" w:cs="Helvetica" w:eastAsia="Helvetica" w:hAnsi="Helvetica"/>
          <w:b w:val="false"/>
          <w:bCs w:val="false"/>
          <w:i w:val="false"/>
          <w:iCs w:val="false"/>
          <w:sz w:val="22"/>
          <w:szCs w:val="22"/>
        </w:rPr>
        <w:t xml:space="preserve">This concept tests whether reframing chronic hip pain as a story of accumulated failure --- rather than a single moment of crisis --- can outperform the existing AD 2 structure. Instead of opening with a personal health crisis ("the 14-month nightmare"), we open with a physical object that every chronic pain sufferer recognises: the drawer, the shelf, the bag full of things that were supposed to work. The hypothesis is that the drawer is a more universal, more emotionally loaded entry point than a single crisis moment, because it represents not just pain but repeated disappointment. Every item in that drawer is a broken promise. Every dollar spent is trust that was betrayed. The drawer is proof that she has tried, that she is not lazy or passive, that she has done everything right --- and still hurts.</w:t>
      </w:r>
    </w:p>
    <w:p>
      <w:pPr>
        <w:spacing w:after="120" w:before="160"/>
      </w:pPr>
      <w:r>
        <w:rPr>
          <w:rFonts w:ascii="Helvetica" w:cs="Helvetica" w:eastAsia="Helvetica" w:hAnsi="Helvetica"/>
          <w:b/>
          <w:bCs/>
          <w:i w:val="false"/>
          <w:iCs w:val="false"/>
          <w:sz w:val="24"/>
          <w:szCs w:val="24"/>
        </w:rPr>
        <w:t xml:space="preserve">Hypothesis</w:t>
      </w:r>
    </w:p>
    <w:p>
      <w:pPr>
        <w:spacing w:after="120" w:before="0"/>
      </w:pPr>
      <w:r>
        <w:rPr>
          <w:rFonts w:ascii="Helvetica" w:cs="Helvetica" w:eastAsia="Helvetica" w:hAnsi="Helvetica"/>
          <w:b w:val="false"/>
          <w:bCs w:val="false"/>
          <w:i w:val="false"/>
          <w:iCs w:val="false"/>
          <w:sz w:val="22"/>
          <w:szCs w:val="22"/>
        </w:rPr>
        <w:t xml:space="preserve">We believe that leading with the accumulated evidence of failure (the drawer) will produce higher engagement and conversion than leading with a single crisis moment, because the target reader's defining emotional state is not fear --- it is exhaustion. She is not afraid of what might happen. She is tired of what has already happened, over and over. The drawer validates that exhaustion. It says: "I see you. I know you have tried." Once that trust is established, the mechanism explanation (why nothing in the drawer could work) lands differently --- not as a sales pitch, but as an answer to a question she has been asking for years: "Why didn't any of it work?"</w:t>
      </w:r>
    </w:p>
    <w:p>
      <w:pPr>
        <w:spacing w:after="160" w:before="240"/>
      </w:pPr>
      <w:r>
        <w:rPr>
          <w:rFonts w:ascii="Helvetica" w:cs="Helvetica" w:eastAsia="Helvetica" w:hAnsi="Helvetica"/>
          <w:b/>
          <w:bCs/>
          <w:i w:val="false"/>
          <w:iCs w:val="false"/>
          <w:sz w:val="28"/>
          <w:szCs w:val="28"/>
        </w:rPr>
        <w:t xml:space="preserve">3. Who's Reading</w:t>
      </w:r>
    </w:p>
    <w:p>
      <w:pPr>
        <w:spacing w:after="120" w:before="160"/>
      </w:pPr>
      <w:r>
        <w:rPr>
          <w:rFonts w:ascii="Helvetica" w:cs="Helvetica" w:eastAsia="Helvetica" w:hAnsi="Helvetica"/>
          <w:b/>
          <w:bCs/>
          <w:i w:val="false"/>
          <w:iCs w:val="false"/>
          <w:sz w:val="24"/>
          <w:szCs w:val="24"/>
        </w:rPr>
        <w:t xml:space="preserve">Target ICP</w:t>
      </w:r>
    </w:p>
    <w:p>
      <w:pPr>
        <w:spacing w:after="120" w:before="0"/>
      </w:pPr>
      <w:r>
        <w:rPr>
          <w:rFonts w:ascii="Helvetica" w:cs="Helvetica" w:eastAsia="Helvetica" w:hAnsi="Helvetica"/>
          <w:b w:val="false"/>
          <w:bCs w:val="false"/>
          <w:i w:val="false"/>
          <w:iCs w:val="false"/>
          <w:sz w:val="22"/>
          <w:szCs w:val="22"/>
        </w:rPr>
        <w:t xml:space="preserve">The Failed Solution Veteran. She is 55--65 years old, likely post-menopausal, and has been dealing with hip pain for 5+ years. She has tried at least 5--10 different products or treatments. She has a drawer, a shelf, a bathroom cabinet, or a bag somewhere in her house that contains the physical evidence of every attempt. She may still be buying things occasionally, but she does so without hope --- it is a reflex, not a belief.</w:t>
      </w:r>
    </w:p>
    <w:p>
      <w:pPr>
        <w:spacing w:after="120" w:before="160"/>
      </w:pPr>
      <w:r>
        <w:rPr>
          <w:rFonts w:ascii="Helvetica" w:cs="Helvetica" w:eastAsia="Helvetica" w:hAnsi="Helvetica"/>
          <w:b/>
          <w:bCs/>
          <w:i w:val="false"/>
          <w:iCs w:val="false"/>
          <w:sz w:val="24"/>
          <w:szCs w:val="24"/>
        </w:rPr>
        <w:t xml:space="preserve">Emotional State When She Sees This Ad</w:t>
      </w:r>
    </w:p>
    <w:p>
      <w:pPr>
        <w:spacing w:after="120" w:before="0"/>
      </w:pPr>
      <w:r>
        <w:rPr>
          <w:rFonts w:ascii="Helvetica" w:cs="Helvetica" w:eastAsia="Helvetica" w:hAnsi="Helvetica"/>
          <w:b w:val="false"/>
          <w:bCs w:val="false"/>
          <w:i w:val="false"/>
          <w:iCs w:val="false"/>
          <w:sz w:val="22"/>
          <w:szCs w:val="22"/>
        </w:rPr>
        <w:t xml:space="preserve">Defensive resignation. She has been burned so many times that her default response to any hip pain product is "yeah, sure." She scrolls past most ads. She does not click. She does not believe. But the drawer --- the drawer is something she has never seen anyone else talk about. It is her private shame. The moment someone names it, she stops scrolling. Not because she believes. Because she feels seen.</w:t>
      </w:r>
    </w:p>
    <w:p>
      <w:pPr>
        <w:spacing w:after="120" w:before="160"/>
      </w:pPr>
      <w:r>
        <w:rPr>
          <w:rFonts w:ascii="Helvetica" w:cs="Helvetica" w:eastAsia="Helvetica" w:hAnsi="Helvetica"/>
          <w:b/>
          <w:bCs/>
          <w:i w:val="false"/>
          <w:iCs w:val="false"/>
          <w:sz w:val="24"/>
          <w:szCs w:val="24"/>
        </w:rPr>
        <w:t xml:space="preserve">Key Difference from AD 2's Reader</w:t>
      </w:r>
    </w:p>
    <w:p>
      <w:pPr>
        <w:spacing w:after="120" w:before="0"/>
      </w:pPr>
      <w:r>
        <w:rPr>
          <w:rFonts w:ascii="Helvetica" w:cs="Helvetica" w:eastAsia="Helvetica" w:hAnsi="Helvetica"/>
          <w:b w:val="false"/>
          <w:bCs w:val="false"/>
          <w:i w:val="false"/>
          <w:iCs w:val="false"/>
          <w:sz w:val="22"/>
          <w:szCs w:val="22"/>
        </w:rPr>
        <w:t xml:space="preserve">AD 2's reader is in active crisis --- she is desperate, searching, willing to try something new. This reader is post-crisis. She has been through the desperation phase and come out the other side into something worse: resignation. She is harder to reach but, once reached, more loyal --- because she has no illusions left. If something actually works for her, she becomes a true believer, not because of marketing, but because of contrast with everything that failed.</w:t>
      </w:r>
    </w:p>
    <w:p>
      <w:pPr>
        <w:spacing w:after="120" w:before="160"/>
      </w:pPr>
      <w:r>
        <w:rPr>
          <w:rFonts w:ascii="Helvetica" w:cs="Helvetica" w:eastAsia="Helvetica" w:hAnsi="Helvetica"/>
          <w:b/>
          <w:bCs/>
          <w:i w:val="false"/>
          <w:iCs w:val="false"/>
          <w:sz w:val="24"/>
          <w:szCs w:val="24"/>
        </w:rPr>
        <w:t xml:space="preserve">Where She Is in the Funnel</w:t>
      </w:r>
    </w:p>
    <w:p>
      <w:pPr>
        <w:spacing w:after="120" w:before="0"/>
      </w:pPr>
      <w:r>
        <w:rPr>
          <w:rFonts w:ascii="Helvetica" w:cs="Helvetica" w:eastAsia="Helvetica" w:hAnsi="Helvetica"/>
          <w:b w:val="false"/>
          <w:bCs w:val="false"/>
          <w:i w:val="false"/>
          <w:iCs w:val="false"/>
          <w:sz w:val="22"/>
          <w:szCs w:val="22"/>
        </w:rPr>
        <w:t xml:space="preserve">Problem-aware and solution-sceptical. She knows exactly what her problem is. She has diagnosed it, researched it, treated it, and given up on it. She is not looking for solutions. She needs to be intercepted, not invited.</w:t>
      </w:r>
    </w:p>
    <w:p>
      <w:pPr>
        <w:spacing w:after="160" w:before="240"/>
      </w:pPr>
      <w:r>
        <w:rPr>
          <w:rFonts w:ascii="Helvetica" w:cs="Helvetica" w:eastAsia="Helvetica" w:hAnsi="Helvetica"/>
          <w:b/>
          <w:bCs/>
          <w:i w:val="false"/>
          <w:iCs w:val="false"/>
          <w:sz w:val="28"/>
          <w:szCs w:val="28"/>
        </w:rPr>
        <w:t xml:space="preserve">4. The Angle</w:t>
      </w:r>
    </w:p>
    <w:p>
      <w:pPr>
        <w:spacing w:after="120" w:before="160"/>
      </w:pPr>
      <w:r>
        <w:rPr>
          <w:rFonts w:ascii="Helvetica" w:cs="Helvetica" w:eastAsia="Helvetica" w:hAnsi="Helvetica"/>
          <w:b/>
          <w:bCs/>
          <w:i w:val="false"/>
          <w:iCs w:val="false"/>
          <w:sz w:val="24"/>
          <w:szCs w:val="24"/>
        </w:rPr>
        <w:t xml:space="preserve">Pain Cluster</w:t>
      </w:r>
    </w:p>
    <w:p>
      <w:pPr>
        <w:spacing w:after="120" w:before="0"/>
      </w:pPr>
      <w:r>
        <w:rPr>
          <w:rFonts w:ascii="Helvetica" w:cs="Helvetica" w:eastAsia="Helvetica" w:hAnsi="Helvetica"/>
          <w:b w:val="false"/>
          <w:bCs w:val="false"/>
          <w:i w:val="false"/>
          <w:iCs w:val="false"/>
          <w:sz w:val="22"/>
          <w:szCs w:val="22"/>
        </w:rPr>
        <w:t xml:space="preserve">Accumulated failure, wasted money, broken trust in products/treatments, the shame of having "tried everything" and still being in pain.</w:t>
      </w:r>
    </w:p>
    <w:p>
      <w:pPr>
        <w:spacing w:after="120" w:before="160"/>
      </w:pPr>
      <w:r>
        <w:rPr>
          <w:rFonts w:ascii="Helvetica" w:cs="Helvetica" w:eastAsia="Helvetica" w:hAnsi="Helvetica"/>
          <w:b/>
          <w:bCs/>
          <w:i w:val="false"/>
          <w:iCs w:val="false"/>
          <w:sz w:val="24"/>
          <w:szCs w:val="24"/>
        </w:rPr>
        <w:t xml:space="preserve">Specific Pain in Customer Language</w:t>
      </w:r>
    </w:p>
    <w:p>
      <w:pPr>
        <w:spacing w:after="120" w:before="0"/>
      </w:pPr>
      <w:r>
        <w:rPr>
          <w:rFonts w:ascii="Helvetica" w:cs="Helvetica" w:eastAsia="Helvetica" w:hAnsi="Helvetica"/>
          <w:b w:val="false"/>
          <w:bCs w:val="false"/>
          <w:i w:val="false"/>
          <w:iCs w:val="false"/>
          <w:sz w:val="22"/>
          <w:szCs w:val="22"/>
        </w:rPr>
        <w:t xml:space="preserve">"I have tried everything." "Nothing works." "I have spent so much money on things that just sit in a drawer." "I am so tired of getting my hopes up." "I bought it knowing it probably would not work, but what else am I supposed to do?"</w:t>
      </w:r>
    </w:p>
    <w:p>
      <w:pPr>
        <w:spacing w:after="120" w:before="160"/>
      </w:pPr>
      <w:r>
        <w:rPr>
          <w:rFonts w:ascii="Helvetica" w:cs="Helvetica" w:eastAsia="Helvetica" w:hAnsi="Helvetica"/>
          <w:b/>
          <w:bCs/>
          <w:i w:val="false"/>
          <w:iCs w:val="false"/>
          <w:sz w:val="24"/>
          <w:szCs w:val="24"/>
        </w:rPr>
        <w:t xml:space="preserve">What Makes This Angle Different from AD 2</w:t>
      </w:r>
    </w:p>
    <w:p>
      <w:pPr>
        <w:spacing w:after="120" w:before="0"/>
      </w:pPr>
      <w:r>
        <w:rPr>
          <w:rFonts w:ascii="Helvetica" w:cs="Helvetica" w:eastAsia="Helvetica" w:hAnsi="Helvetica"/>
          <w:b w:val="false"/>
          <w:bCs w:val="false"/>
          <w:i w:val="false"/>
          <w:iCs w:val="false"/>
          <w:sz w:val="22"/>
          <w:szCs w:val="22"/>
        </w:rPr>
        <w:t xml:space="preserve">AD 2 opens with a single crisis and follows a linear journey from problem to solution. This angle opens with the evidence of multiple crises --- every item in the drawer is a story of hope and disappointment. The emotional weight is cumulative, not singular. AD 2 says "I was in pain and found something that works." This angle says "I had given up entirely, and here is the proof" --- then reverses that resignation through understanding, not promise.</w:t>
      </w:r>
    </w:p>
    <w:p>
      <w:pPr>
        <w:spacing w:after="160" w:before="240"/>
      </w:pPr>
      <w:r>
        <w:rPr>
          <w:rFonts w:ascii="Helvetica" w:cs="Helvetica" w:eastAsia="Helvetica" w:hAnsi="Helvetica"/>
          <w:b/>
          <w:bCs/>
          <w:i w:val="false"/>
          <w:iCs w:val="false"/>
          <w:sz w:val="28"/>
          <w:szCs w:val="28"/>
        </w:rPr>
        <w:t xml:space="preserve">5. Three Headline Options</w:t>
      </w:r>
    </w:p>
    <w:p>
      <w:pPr>
        <w:spacing w:after="120" w:before="160"/>
      </w:pPr>
      <w:r>
        <w:rPr>
          <w:rFonts w:ascii="Helvetica" w:cs="Helvetica" w:eastAsia="Helvetica" w:hAnsi="Helvetica"/>
          <w:b/>
          <w:bCs/>
          <w:i w:val="false"/>
          <w:iCs w:val="false"/>
          <w:sz w:val="24"/>
          <w:szCs w:val="24"/>
        </w:rPr>
        <w:t xml:space="preserve">Option A --- "The Drawer"</w:t>
      </w:r>
    </w:p>
    <w:p>
      <w:pPr>
        <w:pBdr>
          <w:left w:val="single" w:color="999999" w:sz="6" w:space="8"/>
        </w:pBdr>
        <w:spacing w:after="120" w:before="80"/>
        <w:ind w:left="720" w:right="720"/>
      </w:pPr>
      <w:r>
        <w:rPr>
          <w:rFonts w:ascii="Helvetica" w:cs="Helvetica" w:eastAsia="Helvetica" w:hAnsi="Helvetica"/>
          <w:b w:val="false"/>
          <w:bCs w:val="false"/>
          <w:i/>
          <w:iCs/>
          <w:sz w:val="22"/>
          <w:szCs w:val="22"/>
        </w:rPr>
        <w:t xml:space="preserve">I counted seventeen things in the drawer under my bathroom sink. Every single one of them was supposed to fix my hip.</w:t>
      </w:r>
    </w:p>
    <w:p>
      <w:pPr>
        <w:spacing w:after="120" w:before="0"/>
      </w:pPr>
      <w:r>
        <w:rPr>
          <w:rFonts w:ascii="Helvetica" w:cs="Helvetica" w:eastAsia="Helvetica" w:hAnsi="Helvetica"/>
          <w:b/>
          <w:bCs/>
          <w:i w:val="false"/>
          <w:iCs w:val="false"/>
          <w:sz w:val="20"/>
          <w:szCs w:val="20"/>
        </w:rPr>
        <w:t xml:space="preserve">Hook type: </w:t>
      </w:r>
      <w:r>
        <w:rPr>
          <w:rFonts w:ascii="Helvetica" w:cs="Helvetica" w:eastAsia="Helvetica" w:hAnsi="Helvetica"/>
          <w:b w:val="false"/>
          <w:bCs w:val="false"/>
          <w:i w:val="false"/>
          <w:iCs w:val="false"/>
          <w:sz w:val="20"/>
          <w:szCs w:val="20"/>
        </w:rPr>
        <w:t xml:space="preserve">Specificity + Shared Experience</w:t>
      </w:r>
    </w:p>
    <w:p>
      <w:pPr>
        <w:spacing w:after="120" w:before="0"/>
      </w:pPr>
      <w:r>
        <w:rPr>
          <w:rFonts w:ascii="Helvetica" w:cs="Helvetica" w:eastAsia="Helvetica" w:hAnsi="Helvetica"/>
          <w:b/>
          <w:bCs/>
          <w:i w:val="false"/>
          <w:iCs w:val="false"/>
          <w:sz w:val="20"/>
          <w:szCs w:val="20"/>
        </w:rPr>
        <w:t xml:space="preserve">Emotional job: </w:t>
      </w:r>
      <w:r>
        <w:rPr>
          <w:rFonts w:ascii="Helvetica" w:cs="Helvetica" w:eastAsia="Helvetica" w:hAnsi="Helvetica"/>
          <w:b w:val="false"/>
          <w:bCs w:val="false"/>
          <w:i w:val="false"/>
          <w:iCs w:val="false"/>
          <w:sz w:val="20"/>
          <w:szCs w:val="20"/>
        </w:rPr>
        <w:t xml:space="preserve">The specific number (seventeen) makes it concrete and real. "The drawer under my bathroom sink" is hyper-specific --- every reader with chronic pain has their own version of this drawer. The word "supposed to" carries all the disappointment.</w:t>
      </w:r>
    </w:p>
    <w:p>
      <w:pPr>
        <w:spacing w:after="120" w:before="160"/>
      </w:pPr>
      <w:r>
        <w:rPr>
          <w:rFonts w:ascii="Helvetica" w:cs="Helvetica" w:eastAsia="Helvetica" w:hAnsi="Helvetica"/>
          <w:b/>
          <w:bCs/>
          <w:i w:val="false"/>
          <w:iCs w:val="false"/>
          <w:sz w:val="24"/>
          <w:szCs w:val="24"/>
        </w:rPr>
        <w:t xml:space="preserve">Option B --- "The Receipt"</w:t>
      </w:r>
    </w:p>
    <w:p>
      <w:pPr>
        <w:pBdr>
          <w:left w:val="single" w:color="999999" w:sz="6" w:space="8"/>
        </w:pBdr>
        <w:spacing w:after="120" w:before="80"/>
        <w:ind w:left="720" w:right="720"/>
      </w:pPr>
      <w:r>
        <w:rPr>
          <w:rFonts w:ascii="Helvetica" w:cs="Helvetica" w:eastAsia="Helvetica" w:hAnsi="Helvetica"/>
          <w:b w:val="false"/>
          <w:bCs w:val="false"/>
          <w:i/>
          <w:iCs/>
          <w:sz w:val="22"/>
          <w:szCs w:val="22"/>
        </w:rPr>
        <w:t xml:space="preserve">I added up what I have spent on my hip. It was more than the surgery I am trying to avoid.</w:t>
      </w:r>
    </w:p>
    <w:p>
      <w:pPr>
        <w:spacing w:after="120" w:before="0"/>
      </w:pPr>
      <w:r>
        <w:rPr>
          <w:rFonts w:ascii="Helvetica" w:cs="Helvetica" w:eastAsia="Helvetica" w:hAnsi="Helvetica"/>
          <w:b/>
          <w:bCs/>
          <w:i w:val="false"/>
          <w:iCs w:val="false"/>
          <w:sz w:val="20"/>
          <w:szCs w:val="20"/>
        </w:rPr>
        <w:t xml:space="preserve">Hook type: </w:t>
      </w:r>
      <w:r>
        <w:rPr>
          <w:rFonts w:ascii="Helvetica" w:cs="Helvetica" w:eastAsia="Helvetica" w:hAnsi="Helvetica"/>
          <w:b w:val="false"/>
          <w:bCs w:val="false"/>
          <w:i w:val="false"/>
          <w:iCs w:val="false"/>
          <w:sz w:val="20"/>
          <w:szCs w:val="20"/>
        </w:rPr>
        <w:t xml:space="preserve">Financial Pain + Impossible Result</w:t>
      </w:r>
    </w:p>
    <w:p>
      <w:pPr>
        <w:spacing w:after="120" w:before="0"/>
      </w:pPr>
      <w:r>
        <w:rPr>
          <w:rFonts w:ascii="Helvetica" w:cs="Helvetica" w:eastAsia="Helvetica" w:hAnsi="Helvetica"/>
          <w:b/>
          <w:bCs/>
          <w:i w:val="false"/>
          <w:iCs w:val="false"/>
          <w:sz w:val="20"/>
          <w:szCs w:val="20"/>
        </w:rPr>
        <w:t xml:space="preserve">Emotional job: </w:t>
      </w:r>
      <w:r>
        <w:rPr>
          <w:rFonts w:ascii="Helvetica" w:cs="Helvetica" w:eastAsia="Helvetica" w:hAnsi="Helvetica"/>
          <w:b w:val="false"/>
          <w:bCs w:val="false"/>
          <w:i w:val="false"/>
          <w:iCs w:val="false"/>
          <w:sz w:val="20"/>
          <w:szCs w:val="20"/>
        </w:rPr>
        <w:t xml:space="preserve">Reframes the pain from physical to financial. The surgery comparison creates a double bind --- she has spent more than surgery costs on things that did not work, and she still might need the surgery. The reader who has also spent thousands on failed solutions will feel this immediately.</w:t>
      </w:r>
    </w:p>
    <w:p>
      <w:pPr>
        <w:spacing w:after="120" w:before="160"/>
      </w:pPr>
      <w:r>
        <w:rPr>
          <w:rFonts w:ascii="Helvetica" w:cs="Helvetica" w:eastAsia="Helvetica" w:hAnsi="Helvetica"/>
          <w:b/>
          <w:bCs/>
          <w:i w:val="false"/>
          <w:iCs w:val="false"/>
          <w:sz w:val="24"/>
          <w:szCs w:val="24"/>
        </w:rPr>
        <w:t xml:space="preserve">Option C --- "The Promise"</w:t>
      </w:r>
    </w:p>
    <w:p>
      <w:pPr>
        <w:pBdr>
          <w:left w:val="single" w:color="999999" w:sz="6" w:space="8"/>
        </w:pBdr>
        <w:spacing w:after="120" w:before="80"/>
        <w:ind w:left="720" w:right="720"/>
      </w:pPr>
      <w:r>
        <w:rPr>
          <w:rFonts w:ascii="Helvetica" w:cs="Helvetica" w:eastAsia="Helvetica" w:hAnsi="Helvetica"/>
          <w:b w:val="false"/>
          <w:bCs w:val="false"/>
          <w:i/>
          <w:iCs/>
          <w:sz w:val="22"/>
          <w:szCs w:val="22"/>
        </w:rPr>
        <w:t xml:space="preserve">Every single thing in that drawer came with a promise. Every single one of them lied.</w:t>
      </w:r>
    </w:p>
    <w:p>
      <w:pPr>
        <w:spacing w:after="120" w:before="0"/>
      </w:pPr>
      <w:r>
        <w:rPr>
          <w:rFonts w:ascii="Helvetica" w:cs="Helvetica" w:eastAsia="Helvetica" w:hAnsi="Helvetica"/>
          <w:b/>
          <w:bCs/>
          <w:i w:val="false"/>
          <w:iCs w:val="false"/>
          <w:sz w:val="20"/>
          <w:szCs w:val="20"/>
        </w:rPr>
        <w:t xml:space="preserve">Hook type: </w:t>
      </w:r>
      <w:r>
        <w:rPr>
          <w:rFonts w:ascii="Helvetica" w:cs="Helvetica" w:eastAsia="Helvetica" w:hAnsi="Helvetica"/>
          <w:b w:val="false"/>
          <w:bCs w:val="false"/>
          <w:i w:val="false"/>
          <w:iCs w:val="false"/>
          <w:sz w:val="20"/>
          <w:szCs w:val="20"/>
        </w:rPr>
        <w:t xml:space="preserve">Betrayal + Emotional Confrontation</w:t>
      </w:r>
    </w:p>
    <w:p>
      <w:pPr>
        <w:spacing w:after="120" w:before="0"/>
      </w:pPr>
      <w:r>
        <w:rPr>
          <w:rFonts w:ascii="Helvetica" w:cs="Helvetica" w:eastAsia="Helvetica" w:hAnsi="Helvetica"/>
          <w:b/>
          <w:bCs/>
          <w:i w:val="false"/>
          <w:iCs w:val="false"/>
          <w:sz w:val="20"/>
          <w:szCs w:val="20"/>
        </w:rPr>
        <w:t xml:space="preserve">Emotional job: </w:t>
      </w:r>
      <w:r>
        <w:rPr>
          <w:rFonts w:ascii="Helvetica" w:cs="Helvetica" w:eastAsia="Helvetica" w:hAnsi="Helvetica"/>
          <w:b w:val="false"/>
          <w:bCs w:val="false"/>
          <w:i w:val="false"/>
          <w:iCs w:val="false"/>
          <w:sz w:val="20"/>
          <w:szCs w:val="20"/>
        </w:rPr>
        <w:t xml:space="preserve">Personifies the products as liars. The repetition ("every single") hammers the frustration. The word "lied" is deliberately strong --- products do not lie, but it captures exactly how the reader feels. The drawer becomes a crime scene of broken promises.</w:t>
      </w:r>
    </w:p>
    <w:p>
      <w:pPr>
        <w:spacing w:after="160" w:before="240"/>
      </w:pPr>
      <w:r>
        <w:rPr>
          <w:rFonts w:ascii="Helvetica" w:cs="Helvetica" w:eastAsia="Helvetica" w:hAnsi="Helvetica"/>
          <w:b/>
          <w:bCs/>
          <w:i w:val="false"/>
          <w:iCs w:val="false"/>
          <w:sz w:val="28"/>
          <w:szCs w:val="28"/>
        </w:rPr>
        <w:t xml:space="preserve">6. Body Direction</w:t>
      </w:r>
    </w:p>
    <w:p>
      <w:pPr>
        <w:spacing w:after="120" w:before="160"/>
      </w:pPr>
      <w:r>
        <w:rPr>
          <w:rFonts w:ascii="Helvetica" w:cs="Helvetica" w:eastAsia="Helvetica" w:hAnsi="Helvetica"/>
          <w:b/>
          <w:bCs/>
          <w:i w:val="false"/>
          <w:iCs w:val="false"/>
          <w:sz w:val="24"/>
          <w:szCs w:val="24"/>
        </w:rPr>
        <w:t xml:space="preserve">Story Shape</w:t>
      </w:r>
    </w:p>
    <w:p>
      <w:pPr>
        <w:spacing w:after="120" w:before="0"/>
      </w:pPr>
      <w:r>
        <w:rPr>
          <w:rFonts w:ascii="Helvetica" w:cs="Helvetica" w:eastAsia="Helvetica" w:hAnsi="Helvetica"/>
          <w:b w:val="false"/>
          <w:bCs w:val="false"/>
          <w:i w:val="false"/>
          <w:iCs w:val="false"/>
          <w:sz w:val="22"/>
          <w:szCs w:val="22"/>
        </w:rPr>
        <w:t xml:space="preserve">The story opens in stillness, not crisis. The narrator is not in acute pain --- she is in the bathroom, looking at a drawer. The drawer is the inciting incident. She counts what is in it. Each item triggers a memory: the hope she felt buying it, the disappointment when it did not work. The story moves through accumulation --- item after item, failure after failure --- until it reaches the emotional low point: the moment she puts something NEW in the drawer, knowing before she even tries it that it will end up there. The discovery of the belt comes not through search (she has stopped searching) but through accident or gift. The mechanism lands as explanation, not pitch --- "this is why none of those things could have worked." The results build slowly, mirroring her scepticism. The close returns to the drawer.</w:t>
      </w:r>
    </w:p>
    <w:p>
      <w:pPr>
        <w:spacing w:after="120" w:before="160"/>
      </w:pPr>
      <w:r>
        <w:rPr>
          <w:rFonts w:ascii="Helvetica" w:cs="Helvetica" w:eastAsia="Helvetica" w:hAnsi="Helvetica"/>
          <w:b/>
          <w:bCs/>
          <w:i w:val="false"/>
          <w:iCs w:val="false"/>
          <w:sz w:val="24"/>
          <w:szCs w:val="24"/>
        </w:rPr>
        <w:t xml:space="preserve">Recommended POV</w:t>
      </w:r>
    </w:p>
    <w:p>
      <w:pPr>
        <w:spacing w:after="120" w:before="0"/>
      </w:pPr>
      <w:r>
        <w:rPr>
          <w:rFonts w:ascii="Helvetica" w:cs="Helvetica" w:eastAsia="Helvetica" w:hAnsi="Helvetica"/>
          <w:b w:val="false"/>
          <w:bCs w:val="false"/>
          <w:i w:val="false"/>
          <w:iCs w:val="false"/>
          <w:sz w:val="22"/>
          <w:szCs w:val="22"/>
        </w:rPr>
        <w:t xml:space="preserve">First person, past tense, reflective. The narrator is looking back on her journey from a place of relief. She is not selling --- she is explaining. Her tone is wry, honest, slightly self-deprecating. She does not preach. She tells.</w:t>
      </w:r>
    </w:p>
    <w:p>
      <w:pPr>
        <w:spacing w:after="120" w:before="160"/>
      </w:pPr>
      <w:r>
        <w:rPr>
          <w:rFonts w:ascii="Helvetica" w:cs="Helvetica" w:eastAsia="Helvetica" w:hAnsi="Helvetica"/>
          <w:b/>
          <w:bCs/>
          <w:i w:val="false"/>
          <w:iCs w:val="false"/>
          <w:sz w:val="24"/>
          <w:szCs w:val="24"/>
        </w:rPr>
        <w:t xml:space="preserve">Key Scenes to Build</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The Drawer Scene --- She opens the drawer. She looks at what is inside. She describes the physical reality: the tubes, the patches, the wraps, the things she cannot even name anymore.</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The Counting --- She counts them. Seventeen items. She begins to name them, each one triggering a micro-memory of hope and failure.</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The Pattern --- She realises the pattern: every purchase followed the same arc. Hope, use, waiting, disappointment, drawer.</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The Discovery --- She encounters the belt by accident. She is not looking for it. Someone mentions it, or she sees it in a context that is not "hip pain product advertising." She almost does not try it.</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The Mechanism --- Delivered through understanding, not authority. "This is why the anti-inflammatory cream could not work. This is why the heat pack was never enough. This is why the tens machine only helped for twenty minutes." Each drawer item gets its autopsy.</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The Product --- Introduced late, almost reluctantly. She describes what it does without sounding like an ad. The four modalities are explained through sensation, not specification.</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The Results --- Gradual. She does not wake up healed. She notices small things first. The escalation mirrors reality: sleep improves, then movement, then activities she had given up.</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The Drawer Revisited --- The close. The drawer is still there. She has not cleaned it out. But she does not open it anymore. She does not need to.</w:t>
      </w:r>
    </w:p>
    <w:p>
      <w:pPr>
        <w:spacing w:after="160" w:before="240"/>
      </w:pPr>
      <w:r>
        <w:rPr>
          <w:rFonts w:ascii="Helvetica" w:cs="Helvetica" w:eastAsia="Helvetica" w:hAnsi="Helvetica"/>
          <w:b/>
          <w:bCs/>
          <w:i w:val="false"/>
          <w:iCs w:val="false"/>
          <w:sz w:val="28"/>
          <w:szCs w:val="28"/>
        </w:rPr>
        <w:t xml:space="preserve">7. The Mechanism</w:t>
      </w:r>
    </w:p>
    <w:p>
      <w:pPr>
        <w:spacing w:after="120" w:before="160"/>
      </w:pPr>
      <w:r>
        <w:rPr>
          <w:rFonts w:ascii="Helvetica" w:cs="Helvetica" w:eastAsia="Helvetica" w:hAnsi="Helvetica"/>
          <w:b/>
          <w:bCs/>
          <w:i w:val="false"/>
          <w:iCs w:val="false"/>
          <w:sz w:val="24"/>
          <w:szCs w:val="24"/>
        </w:rPr>
        <w:t xml:space="preserve">Name: "Deep Tissue Reset"</w:t>
      </w:r>
    </w:p>
    <w:p>
      <w:pPr>
        <w:spacing w:after="120" w:before="160"/>
      </w:pPr>
      <w:r>
        <w:rPr>
          <w:rFonts w:ascii="Helvetica" w:cs="Helvetica" w:eastAsia="Helvetica" w:hAnsi="Helvetica"/>
          <w:b/>
          <w:bCs/>
          <w:i w:val="false"/>
          <w:iCs w:val="false"/>
          <w:sz w:val="24"/>
          <w:szCs w:val="24"/>
        </w:rPr>
        <w:t xml:space="preserve">The Reframe Chain</w:t>
      </w:r>
    </w:p>
    <w:p>
      <w:pPr>
        <w:spacing w:after="120" w:before="0"/>
      </w:pPr>
      <w:r>
        <w:rPr>
          <w:rFonts w:ascii="Helvetica" w:cs="Helvetica" w:eastAsia="Helvetica" w:hAnsi="Helvetica"/>
          <w:b/>
          <w:bCs/>
          <w:i w:val="false"/>
          <w:iCs w:val="false"/>
          <w:sz w:val="20"/>
          <w:szCs w:val="20"/>
        </w:rPr>
        <w:t xml:space="preserve">Current belief: </w:t>
      </w:r>
      <w:r>
        <w:rPr>
          <w:rFonts w:ascii="Helvetica" w:cs="Helvetica" w:eastAsia="Helvetica" w:hAnsi="Helvetica"/>
          <w:b w:val="false"/>
          <w:bCs w:val="false"/>
          <w:i/>
          <w:iCs/>
          <w:sz w:val="20"/>
          <w:szCs w:val="20"/>
        </w:rPr>
        <w:t xml:space="preserve">"Nothing works for hip pain. I have tried everything."</w:t>
      </w:r>
    </w:p>
    <w:p>
      <w:pPr>
        <w:spacing w:after="120" w:before="0"/>
      </w:pPr>
      <w:r>
        <w:rPr>
          <w:rFonts w:ascii="Helvetica" w:cs="Helvetica" w:eastAsia="Helvetica" w:hAnsi="Helvetica"/>
          <w:b/>
          <w:bCs/>
          <w:i w:val="false"/>
          <w:iCs w:val="false"/>
          <w:sz w:val="20"/>
          <w:szCs w:val="20"/>
        </w:rPr>
        <w:t xml:space="preserve">Reframe: </w:t>
      </w:r>
      <w:r>
        <w:rPr>
          <w:rFonts w:ascii="Helvetica" w:cs="Helvetica" w:eastAsia="Helvetica" w:hAnsi="Helvetica"/>
          <w:b w:val="false"/>
          <w:bCs w:val="false"/>
          <w:i w:val="false"/>
          <w:iCs w:val="false"/>
          <w:sz w:val="20"/>
          <w:szCs w:val="20"/>
        </w:rPr>
        <w:t xml:space="preserve">The reason nothing worked is that nothing she tried could reach the tissue that is actually causing the pain. The soft tissue around the hip joint is starved of blood supply. Post-menopause, circulation to those tendons drops. The tissue gets stuck in an inflammation loop.</w:t>
      </w:r>
    </w:p>
    <w:p>
      <w:pPr>
        <w:spacing w:after="120" w:before="0"/>
      </w:pPr>
      <w:r>
        <w:rPr>
          <w:rFonts w:ascii="Helvetica" w:cs="Helvetica" w:eastAsia="Helvetica" w:hAnsi="Helvetica"/>
          <w:b/>
          <w:bCs/>
          <w:i w:val="false"/>
          <w:iCs w:val="false"/>
          <w:sz w:val="20"/>
          <w:szCs w:val="20"/>
        </w:rPr>
        <w:t xml:space="preserve">Why nothing worked: </w:t>
      </w:r>
      <w:r>
        <w:rPr>
          <w:rFonts w:ascii="Helvetica" w:cs="Helvetica" w:eastAsia="Helvetica" w:hAnsi="Helvetica"/>
          <w:b w:val="false"/>
          <w:bCs w:val="false"/>
          <w:i w:val="false"/>
          <w:iCs w:val="false"/>
          <w:sz w:val="20"/>
          <w:szCs w:val="20"/>
        </w:rPr>
        <w:t xml:space="preserve">Anti-inflammatories quiet the alarm. Physio loads an angry tendon. Cortisone numbs it temporarily. Heat packs warm the surface. None reach the deep tissue layer where the inflammation lives.</w:t>
      </w:r>
    </w:p>
    <w:p>
      <w:pPr>
        <w:spacing w:after="120" w:before="0"/>
      </w:pPr>
      <w:r>
        <w:rPr>
          <w:rFonts w:ascii="Helvetica" w:cs="Helvetica" w:eastAsia="Helvetica" w:hAnsi="Helvetica"/>
          <w:b/>
          <w:bCs/>
          <w:i w:val="false"/>
          <w:iCs w:val="false"/>
          <w:sz w:val="20"/>
          <w:szCs w:val="20"/>
        </w:rPr>
        <w:t xml:space="preserve">What actually works: </w:t>
      </w:r>
      <w:r>
        <w:rPr>
          <w:rFonts w:ascii="Helvetica" w:cs="Helvetica" w:eastAsia="Helvetica" w:hAnsi="Helvetica"/>
          <w:b w:val="false"/>
          <w:bCs w:val="false"/>
          <w:i w:val="false"/>
          <w:iCs w:val="false"/>
          <w:sz w:val="20"/>
          <w:szCs w:val="20"/>
        </w:rPr>
        <w:t xml:space="preserve">Driving warmth and fresh blood directly into the starved tissue. Red light (660nm) and near-infrared (850nm) penetrate to the tissue layer. Heat increases local circulation. Vibration stimulates blood flow. Compression holds everything against the joint.</w:t>
      </w:r>
    </w:p>
    <w:p>
      <w:pPr>
        <w:spacing w:after="120" w:before="0"/>
      </w:pPr>
      <w:r>
        <w:rPr>
          <w:rFonts w:ascii="Helvetica" w:cs="Helvetica" w:eastAsia="Helvetica" w:hAnsi="Helvetica"/>
          <w:b/>
          <w:bCs/>
          <w:i w:val="false"/>
          <w:iCs w:val="false"/>
          <w:sz w:val="20"/>
          <w:szCs w:val="20"/>
        </w:rPr>
        <w:t xml:space="preserve">New belief: </w:t>
      </w:r>
      <w:r>
        <w:rPr>
          <w:rFonts w:ascii="Helvetica" w:cs="Helvetica" w:eastAsia="Helvetica" w:hAnsi="Helvetica"/>
          <w:b w:val="false"/>
          <w:bCs w:val="false"/>
          <w:i/>
          <w:iCs/>
          <w:sz w:val="20"/>
          <w:szCs w:val="20"/>
        </w:rPr>
        <w:t xml:space="preserve">"The reason everything ended up in the drawer is that nothing could reach what was actually hurting. Now something can."</w:t>
      </w:r>
    </w:p>
    <w:p>
      <w:pPr>
        <w:spacing w:after="120" w:before="160"/>
      </w:pPr>
      <w:r>
        <w:rPr>
          <w:rFonts w:ascii="Helvetica" w:cs="Helvetica" w:eastAsia="Helvetica" w:hAnsi="Helvetica"/>
          <w:b/>
          <w:bCs/>
          <w:i w:val="false"/>
          <w:iCs w:val="false"/>
          <w:sz w:val="24"/>
          <w:szCs w:val="24"/>
        </w:rPr>
        <w:t xml:space="preserve">Delivery</w:t>
      </w:r>
    </w:p>
    <w:p>
      <w:pPr>
        <w:spacing w:after="120" w:before="0"/>
      </w:pPr>
      <w:r>
        <w:rPr>
          <w:rFonts w:ascii="Helvetica" w:cs="Helvetica" w:eastAsia="Helvetica" w:hAnsi="Helvetica"/>
          <w:b w:val="false"/>
          <w:bCs w:val="false"/>
          <w:i w:val="false"/>
          <w:iCs w:val="false"/>
          <w:sz w:val="22"/>
          <w:szCs w:val="22"/>
        </w:rPr>
        <w:t xml:space="preserve">In this concept, the mechanism is not delivered by an authority figure. It is delivered through the narrator's own understanding --- she explains it the way someone explains something they have finally figured out after years of confusion. Each item in the drawer gets its "autopsy": here is what this product claimed to do, here is why it could never have worked, here is what was actually happening in her body while she waited for it to help. The mechanism becomes a series of small revelations, not a single lecture. The reader should feel like she is solving a puzzle alongside the narrator.</w:t>
      </w:r>
    </w:p>
    <w:p>
      <w:pPr>
        <w:spacing w:after="160" w:before="240"/>
      </w:pPr>
      <w:r>
        <w:rPr>
          <w:rFonts w:ascii="Helvetica" w:cs="Helvetica" w:eastAsia="Helvetica" w:hAnsi="Helvetica"/>
          <w:b/>
          <w:bCs/>
          <w:i w:val="false"/>
          <w:iCs w:val="false"/>
          <w:sz w:val="28"/>
          <w:szCs w:val="28"/>
        </w:rPr>
        <w:t xml:space="preserve">8. Beat-by-Beat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200"/>
        <w:gridCol w:w="4160"/>
        <w:gridCol w:w="3200"/>
      </w:tblGrid>
      <w:tr>
        <w:tc>
          <w:tcPr>
            <w:tcW w:type="dxa" w:w="800"/>
            <w:tcBorders>
              <w:top w:val="single" w:color="999999" w:sz="1"/>
              <w:left w:val="single" w:color="999999" w:sz="1"/>
              <w:bottom w:val="single" w:color="999999" w:sz="1"/>
              <w:right w:val="single" w:color="999999" w:sz="1"/>
            </w:tcBorders>
            <w:shd w:fill="333333" w:val="clear"/>
            <w:vAlign w:val="center"/>
          </w:tcPr>
          <w:p>
            <w:pPr>
              <w:spacing w:after="40" w:before="0"/>
            </w:pPr>
            <w:r>
              <w:rPr>
                <w:rFonts w:ascii="Helvetica" w:cs="Helvetica" w:eastAsia="Helvetica" w:hAnsi="Helvetica"/>
                <w:b/>
                <w:bCs/>
                <w:i w:val="false"/>
                <w:iCs w:val="false"/>
                <w:color w:val="FFFFFF"/>
                <w:sz w:val="20"/>
                <w:szCs w:val="20"/>
              </w:rPr>
              <w:t xml:space="preserve">Beat</w:t>
            </w:r>
          </w:p>
        </w:tc>
        <w:tc>
          <w:tcPr>
            <w:tcW w:type="dxa" w:w="1200"/>
            <w:tcBorders>
              <w:top w:val="single" w:color="999999" w:sz="1"/>
              <w:left w:val="single" w:color="999999" w:sz="1"/>
              <w:bottom w:val="single" w:color="999999" w:sz="1"/>
              <w:right w:val="single" w:color="999999" w:sz="1"/>
            </w:tcBorders>
            <w:shd w:fill="333333" w:val="clear"/>
            <w:vAlign w:val="center"/>
          </w:tcPr>
          <w:p>
            <w:pPr>
              <w:spacing w:after="40" w:before="0"/>
            </w:pPr>
            <w:r>
              <w:rPr>
                <w:rFonts w:ascii="Helvetica" w:cs="Helvetica" w:eastAsia="Helvetica" w:hAnsi="Helvetica"/>
                <w:b/>
                <w:bCs/>
                <w:i w:val="false"/>
                <w:iCs w:val="false"/>
                <w:color w:val="FFFFFF"/>
                <w:sz w:val="20"/>
                <w:szCs w:val="20"/>
              </w:rPr>
              <w:t xml:space="preserve">Status</w:t>
            </w:r>
          </w:p>
        </w:tc>
        <w:tc>
          <w:tcPr>
            <w:tcW w:type="dxa" w:w="4160"/>
            <w:tcBorders>
              <w:top w:val="single" w:color="999999" w:sz="1"/>
              <w:left w:val="single" w:color="999999" w:sz="1"/>
              <w:bottom w:val="single" w:color="999999" w:sz="1"/>
              <w:right w:val="single" w:color="999999" w:sz="1"/>
            </w:tcBorders>
            <w:shd w:fill="333333" w:val="clear"/>
            <w:vAlign w:val="center"/>
          </w:tcPr>
          <w:p>
            <w:pPr>
              <w:spacing w:after="40" w:before="0"/>
            </w:pPr>
            <w:r>
              <w:rPr>
                <w:rFonts w:ascii="Helvetica" w:cs="Helvetica" w:eastAsia="Helvetica" w:hAnsi="Helvetica"/>
                <w:b/>
                <w:bCs/>
                <w:i w:val="false"/>
                <w:iCs w:val="false"/>
                <w:color w:val="FFFFFF"/>
                <w:sz w:val="20"/>
                <w:szCs w:val="20"/>
              </w:rPr>
              <w:t xml:space="preserve">Direction</w:t>
            </w:r>
          </w:p>
        </w:tc>
        <w:tc>
          <w:tcPr>
            <w:tcW w:type="dxa" w:w="3200"/>
            <w:tcBorders>
              <w:top w:val="single" w:color="999999" w:sz="1"/>
              <w:left w:val="single" w:color="999999" w:sz="1"/>
              <w:bottom w:val="single" w:color="999999" w:sz="1"/>
              <w:right w:val="single" w:color="999999" w:sz="1"/>
            </w:tcBorders>
            <w:shd w:fill="333333" w:val="clear"/>
            <w:vAlign w:val="center"/>
          </w:tcPr>
          <w:p>
            <w:pPr>
              <w:spacing w:after="40" w:before="0"/>
            </w:pPr>
            <w:r>
              <w:rPr>
                <w:rFonts w:ascii="Helvetica" w:cs="Helvetica" w:eastAsia="Helvetica" w:hAnsi="Helvetica"/>
                <w:b/>
                <w:bCs/>
                <w:i w:val="false"/>
                <w:iCs w:val="false"/>
                <w:color w:val="FFFFFF"/>
                <w:sz w:val="20"/>
                <w:szCs w:val="20"/>
              </w:rPr>
              <w:t xml:space="preserve">Why</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1. Hook</w:t>
            </w:r>
          </w:p>
        </w:tc>
        <w:tc>
          <w:tcPr>
            <w:tcW w:type="dxa" w:w="1200"/>
            <w:tcBorders>
              <w:top w:val="single" w:color="999999" w:sz="1"/>
              <w:left w:val="single" w:color="999999" w:sz="1"/>
              <w:bottom w:val="single" w:color="999999" w:sz="1"/>
              <w:right w:val="single" w:color="999999" w:sz="1"/>
            </w:tcBorders>
            <w:shd w:fill="FFF8E1" w:val="clear"/>
            <w:vAlign w:val="top"/>
          </w:tcPr>
          <w:p>
            <w:pPr>
              <w:spacing w:after="40" w:before="0"/>
            </w:pPr>
            <w:r>
              <w:rPr>
                <w:rFonts w:ascii="Helvetica" w:cs="Helvetica" w:eastAsia="Helvetica" w:hAnsi="Helvetica"/>
                <w:b/>
                <w:bCs/>
                <w:i w:val="false"/>
                <w:iCs w:val="false"/>
                <w:sz w:val="18"/>
                <w:szCs w:val="18"/>
              </w:rPr>
              <w:t xml:space="preserve">ADAPT</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Open with the drawer. Not pain, not crisis --- the drawer. "I counted seventeen things in the drawer under my bathroom sink." The hook is the specificity and universality of the image. Every chronic pain sufferer has this drawer.</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AD 2 opens with a time-based crisis ("14 months"). This concept opens with accumulated evidence. The drawer is more visually immediate and more emotionally loaded than a timeframe.</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2. Credential</w:t>
            </w:r>
          </w:p>
        </w:tc>
        <w:tc>
          <w:tcPr>
            <w:tcW w:type="dxa" w:w="1200"/>
            <w:tcBorders>
              <w:top w:val="single" w:color="999999" w:sz="1"/>
              <w:left w:val="single" w:color="999999" w:sz="1"/>
              <w:bottom w:val="single" w:color="999999" w:sz="1"/>
              <w:right w:val="single" w:color="999999" w:sz="1"/>
            </w:tcBorders>
            <w:shd w:fill="FBE9E7" w:val="clear"/>
            <w:vAlign w:val="top"/>
          </w:tcPr>
          <w:p>
            <w:pPr>
              <w:spacing w:after="40" w:before="0"/>
            </w:pPr>
            <w:r>
              <w:rPr>
                <w:rFonts w:ascii="Helvetica" w:cs="Helvetica" w:eastAsia="Helvetica" w:hAnsi="Helvetica"/>
                <w:b/>
                <w:bCs/>
                <w:i w:val="false"/>
                <w:iCs w:val="false"/>
                <w:sz w:val="18"/>
                <w:szCs w:val="18"/>
              </w:rPr>
              <w:t xml:space="preserve">CHANGE</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New narrator, not Maggie. She credentials herself not through authority but through experience: "I have been buying things for my hip for six years." Her credential is her failure --- she is an expert in what does not work.</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AD 2 uses Maggie's personal authority. This concept needs a narrator whose authority comes from exhaustive personal trial and error, not from persona recognition.</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3. Personal Crisis</w:t>
            </w:r>
          </w:p>
        </w:tc>
        <w:tc>
          <w:tcPr>
            <w:tcW w:type="dxa" w:w="1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KEEP / COMPRESS</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crisis is not a single event --- it is the accumulation. Compress the backstory into the drawer itself. Each item IS a crisis. Do not retell the origin story at length; let the drawer tell it.</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drawer replaces the need for a long personal crisis section. The reader infers the years of pain from the seventeen items without being told explicitly.</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4. Pattern / Systemic Problem</w:t>
            </w:r>
          </w:p>
        </w:tc>
        <w:tc>
          <w:tcPr>
            <w:tcW w:type="dxa" w:w="1200"/>
            <w:tcBorders>
              <w:top w:val="single" w:color="999999" w:sz="1"/>
              <w:left w:val="single" w:color="999999" w:sz="1"/>
              <w:bottom w:val="single" w:color="999999" w:sz="1"/>
              <w:right w:val="single" w:color="999999" w:sz="1"/>
            </w:tcBorders>
            <w:shd w:fill="FFF8E1" w:val="clear"/>
            <w:vAlign w:val="top"/>
          </w:tcPr>
          <w:p>
            <w:pPr>
              <w:spacing w:after="40" w:before="0"/>
            </w:pPr>
            <w:r>
              <w:rPr>
                <w:rFonts w:ascii="Helvetica" w:cs="Helvetica" w:eastAsia="Helvetica" w:hAnsi="Helvetica"/>
                <w:b/>
                <w:bCs/>
                <w:i w:val="false"/>
                <w:iCs w:val="false"/>
                <w:sz w:val="18"/>
                <w:szCs w:val="18"/>
              </w:rPr>
              <w:t xml:space="preserve">ADAPT</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systemic problem is the INDUSTRY of false promises. Every product in the drawer represents a company that sold her hope it could not deliver. The pattern is: promise, purchase, hope, use, wait, disappointment, drawer.</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AD 2 frames the systemic problem as medical. This concept frames it as commercial --- the market itself is the problem, selling surface-level solutions to a deep-tissue issue.</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5. Lies / Myths</w:t>
            </w:r>
          </w:p>
        </w:tc>
        <w:tc>
          <w:tcPr>
            <w:tcW w:type="dxa" w:w="1200"/>
            <w:tcBorders>
              <w:top w:val="single" w:color="999999" w:sz="1"/>
              <w:left w:val="single" w:color="999999" w:sz="1"/>
              <w:bottom w:val="single" w:color="999999" w:sz="1"/>
              <w:right w:val="single" w:color="999999" w:sz="1"/>
            </w:tcBorders>
            <w:shd w:fill="ECEFF1" w:val="clear"/>
            <w:vAlign w:val="top"/>
          </w:tcPr>
          <w:p>
            <w:pPr>
              <w:spacing w:after="40" w:before="0"/>
            </w:pPr>
            <w:r>
              <w:rPr>
                <w:rFonts w:ascii="Helvetica" w:cs="Helvetica" w:eastAsia="Helvetica" w:hAnsi="Helvetica"/>
                <w:b/>
                <w:bCs/>
                <w:i w:val="false"/>
                <w:iCs w:val="false"/>
                <w:sz w:val="18"/>
                <w:szCs w:val="18"/>
              </w:rPr>
              <w:t xml:space="preserve">KEEP ABSENT</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Do not include a separate lies/myths section. The drawer IS the lies section --- each failed product embodies a myth. Calling them out explicitly would feel preachy in this narrative frame.</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narrative frame handles myth-busting organically through the drawer autopsy. A separate section would break the story flow.</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6. Failed Attempts</w:t>
            </w:r>
          </w:p>
        </w:tc>
        <w:tc>
          <w:tcPr>
            <w:tcW w:type="dxa" w:w="1200"/>
            <w:tcBorders>
              <w:top w:val="single" w:color="999999" w:sz="1"/>
              <w:left w:val="single" w:color="999999" w:sz="1"/>
              <w:bottom w:val="single" w:color="999999" w:sz="1"/>
              <w:right w:val="single" w:color="999999" w:sz="1"/>
            </w:tcBorders>
            <w:shd w:fill="E3F2FD" w:val="clear"/>
            <w:vAlign w:val="top"/>
          </w:tcPr>
          <w:p>
            <w:pPr>
              <w:spacing w:after="40" w:before="0"/>
            </w:pPr>
            <w:r>
              <w:rPr>
                <w:rFonts w:ascii="Helvetica" w:cs="Helvetica" w:eastAsia="Helvetica" w:hAnsi="Helvetica"/>
                <w:b/>
                <w:bCs/>
                <w:i w:val="false"/>
                <w:iCs w:val="false"/>
                <w:sz w:val="18"/>
                <w:szCs w:val="18"/>
              </w:rPr>
              <w:t xml:space="preserve">STRENGTHEN</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DRAWER is the failed attempts. Make it visual, make it specific, name every product type: the anti-inflammatory cream with the green cap, the TENS machine that is still tangled in its own wires, the copper-infused wrap, the magnetic bracelet, the heat patches (three different brands), the foam roller she used twice.</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This is the centrepiece of the concept. AD 2 treats failed attempts as a brief passage. Here, failed attempts ARE the story. Each item must feel real, specific, and painfully recognisable.</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7. Emotional Low Point</w:t>
            </w:r>
          </w:p>
        </w:tc>
        <w:tc>
          <w:tcPr>
            <w:tcW w:type="dxa" w:w="1200"/>
            <w:tcBorders>
              <w:top w:val="single" w:color="999999" w:sz="1"/>
              <w:left w:val="single" w:color="999999" w:sz="1"/>
              <w:bottom w:val="single" w:color="999999" w:sz="1"/>
              <w:right w:val="single" w:color="999999" w:sz="1"/>
            </w:tcBorders>
            <w:shd w:fill="FFF8E1" w:val="clear"/>
            <w:vAlign w:val="top"/>
          </w:tcPr>
          <w:p>
            <w:pPr>
              <w:spacing w:after="40" w:before="0"/>
            </w:pPr>
            <w:r>
              <w:rPr>
                <w:rFonts w:ascii="Helvetica" w:cs="Helvetica" w:eastAsia="Helvetica" w:hAnsi="Helvetica"/>
                <w:b/>
                <w:bCs/>
                <w:i w:val="false"/>
                <w:iCs w:val="false"/>
                <w:sz w:val="18"/>
                <w:szCs w:val="18"/>
              </w:rPr>
              <w:t xml:space="preserve">ADAPT</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low point is the moment she puts something NEW in the drawer, knowing it will not work but buying it anyway. She has moved past hope into compulsion --- she buys because she does not know what else to do. The purchase is an act of desperation, not optimism.</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AD 2's low point is a moment of physical crisis. This concept's low point is psychological --- the death of hope itself. It is quieter but arguably more devastating.</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8. Bridge / Discovery</w:t>
            </w:r>
          </w:p>
        </w:tc>
        <w:tc>
          <w:tcPr>
            <w:tcW w:type="dxa" w:w="1200"/>
            <w:tcBorders>
              <w:top w:val="single" w:color="999999" w:sz="1"/>
              <w:left w:val="single" w:color="999999" w:sz="1"/>
              <w:bottom w:val="single" w:color="999999" w:sz="1"/>
              <w:right w:val="single" w:color="999999" w:sz="1"/>
            </w:tcBorders>
            <w:shd w:fill="FBE9E7" w:val="clear"/>
            <w:vAlign w:val="top"/>
          </w:tcPr>
          <w:p>
            <w:pPr>
              <w:spacing w:after="40" w:before="0"/>
            </w:pPr>
            <w:r>
              <w:rPr>
                <w:rFonts w:ascii="Helvetica" w:cs="Helvetica" w:eastAsia="Helvetica" w:hAnsi="Helvetica"/>
                <w:b/>
                <w:bCs/>
                <w:i w:val="false"/>
                <w:iCs w:val="false"/>
                <w:sz w:val="18"/>
                <w:szCs w:val="18"/>
              </w:rPr>
              <w:t xml:space="preserve">CHANGE</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She finds the belt NOT through searching --- she has given up searching. Someone gives it to her, or she encounters it accidentally. Perhaps her daughter buys it for her. Perhaps she sees it at a friend's house. The discovery must feel accidental, not intentional.</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If she were still searching, she would not be the Failed Solution Veteran. The accidental discovery respects her resignation and makes the story more believable.</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9. External Proof</w:t>
            </w:r>
          </w:p>
        </w:tc>
        <w:tc>
          <w:tcPr>
            <w:tcW w:type="dxa" w:w="1200"/>
            <w:tcBorders>
              <w:top w:val="single" w:color="999999" w:sz="1"/>
              <w:left w:val="single" w:color="999999" w:sz="1"/>
              <w:bottom w:val="single" w:color="999999" w:sz="1"/>
              <w:right w:val="single" w:color="999999" w:sz="1"/>
            </w:tcBorders>
            <w:shd w:fill="FBE9E7" w:val="clear"/>
            <w:vAlign w:val="top"/>
          </w:tcPr>
          <w:p>
            <w:pPr>
              <w:spacing w:after="40" w:before="0"/>
            </w:pPr>
            <w:r>
              <w:rPr>
                <w:rFonts w:ascii="Helvetica" w:cs="Helvetica" w:eastAsia="Helvetica" w:hAnsi="Helvetica"/>
                <w:b/>
                <w:bCs/>
                <w:i w:val="false"/>
                <w:iCs w:val="false"/>
                <w:sz w:val="18"/>
                <w:szCs w:val="18"/>
              </w:rPr>
              <w:t xml:space="preserve">CHANGE</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Instead of leading with surgeon authority, lead with the "why nothing in the drawer worked" explanation. The proof is logical, not authoritative: here is what anti-inflammatory cream does (surface only), here is what TENS does (nerve distraction), here is where the actual problem lives (deep tissue).</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Failed Solution Veteran does not trust authorities --- authorities recommended half the things in her drawer. She trusts explanations that match her lived experience.</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10. Mechanism</w:t>
            </w:r>
          </w:p>
        </w:tc>
        <w:tc>
          <w:tcPr>
            <w:tcW w:type="dxa" w:w="1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KEEP chain / CHANGE frame</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Keep the Deep Tissue Reset mechanism chain. Change the delivery from authority-led to understanding-led. The narrator explains it as something she finally understood, not something she was told. "Nobody ever explained to me why the heat pack could not reach what was actually hurting."</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mechanism is identical. The delivery method changes to match the narrator's voice and the concept's anti-authority stance.</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11. Cheap Version Fails</w:t>
            </w:r>
          </w:p>
        </w:tc>
        <w:tc>
          <w:tcPr>
            <w:tcW w:type="dxa" w:w="1200"/>
            <w:tcBorders>
              <w:top w:val="single" w:color="999999" w:sz="1"/>
              <w:left w:val="single" w:color="999999" w:sz="1"/>
              <w:bottom w:val="single" w:color="999999" w:sz="1"/>
              <w:right w:val="single" w:color="999999" w:sz="1"/>
            </w:tcBorders>
            <w:shd w:fill="E3F2FD" w:val="clear"/>
            <w:vAlign w:val="top"/>
          </w:tcPr>
          <w:p>
            <w:pPr>
              <w:spacing w:after="40" w:before="0"/>
            </w:pPr>
            <w:r>
              <w:rPr>
                <w:rFonts w:ascii="Helvetica" w:cs="Helvetica" w:eastAsia="Helvetica" w:hAnsi="Helvetica"/>
                <w:b/>
                <w:bCs/>
                <w:i w:val="false"/>
                <w:iCs w:val="false"/>
                <w:sz w:val="18"/>
                <w:szCs w:val="18"/>
              </w:rPr>
              <w:t xml:space="preserve">STRENGTHEN</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Every item in the drawer gets its autopsy. This is where the mechanism does its heaviest work --- explaining, item by item, why each product category was structurally incapable of solving the problem. Not "they are bad products" but "they could never have reached the tissue that is actually inflamed."</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AD 2 touches on cheap alternatives briefly. This concept makes the autopsy a major structural element. Each item validates the reader's experience ("it was not your fault it did not work").</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12. Differentiation</w:t>
            </w:r>
          </w:p>
        </w:tc>
        <w:tc>
          <w:tcPr>
            <w:tcW w:type="dxa" w:w="1200"/>
            <w:tcBorders>
              <w:top w:val="single" w:color="999999" w:sz="1"/>
              <w:left w:val="single" w:color="999999" w:sz="1"/>
              <w:bottom w:val="single" w:color="999999" w:sz="1"/>
              <w:right w:val="single" w:color="999999" w:sz="1"/>
            </w:tcBorders>
            <w:shd w:fill="E8F5E9" w:val="clear"/>
            <w:vAlign w:val="top"/>
          </w:tcPr>
          <w:p>
            <w:pPr>
              <w:spacing w:after="40" w:before="0"/>
            </w:pPr>
            <w:r>
              <w:rPr>
                <w:rFonts w:ascii="Helvetica" w:cs="Helvetica" w:eastAsia="Helvetica" w:hAnsi="Helvetica"/>
                <w:b/>
                <w:bCs/>
                <w:i w:val="false"/>
                <w:iCs w:val="false"/>
                <w:sz w:val="18"/>
                <w:szCs w:val="18"/>
              </w:rPr>
              <w:t xml:space="preserve">KEEP</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belt is different because it combines four modalities that, together, reach the deep tissue layer. Red light + near-infrared + heat + vibration + compression. No single drawer item could do this. The differentiation is structural, not aspirational.</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Same as AD 2 but delivered through contrast with the drawer contents rather than in isolation.</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13. Product Introduction</w:t>
            </w:r>
          </w:p>
        </w:tc>
        <w:tc>
          <w:tcPr>
            <w:tcW w:type="dxa" w:w="1200"/>
            <w:tcBorders>
              <w:top w:val="single" w:color="999999" w:sz="1"/>
              <w:left w:val="single" w:color="999999" w:sz="1"/>
              <w:bottom w:val="single" w:color="999999" w:sz="1"/>
              <w:right w:val="single" w:color="999999" w:sz="1"/>
            </w:tcBorders>
            <w:shd w:fill="FFF8E1" w:val="clear"/>
            <w:vAlign w:val="top"/>
          </w:tcPr>
          <w:p>
            <w:pPr>
              <w:spacing w:after="40" w:before="0"/>
            </w:pPr>
            <w:r>
              <w:rPr>
                <w:rFonts w:ascii="Helvetica" w:cs="Helvetica" w:eastAsia="Helvetica" w:hAnsi="Helvetica"/>
                <w:b/>
                <w:bCs/>
                <w:i w:val="false"/>
                <w:iCs w:val="false"/>
                <w:sz w:val="18"/>
                <w:szCs w:val="18"/>
              </w:rPr>
              <w:t xml:space="preserve">ADAPT</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Introduce the product late and almost reluctantly. The narrator does not sound excited --- she sounds cautious. "I did not expect anything. I put it on because my daughter had paid for it and I did not want to waste her money." Let scepticism do the selling.</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narrator's scepticism IS the reader's scepticism. If the narrator sounds like a convert, the reader disengages. If the narrator sounds like someone who was dragged to belief reluctantly, the reader trusts her.</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14. Personal Results</w:t>
            </w:r>
          </w:p>
        </w:tc>
        <w:tc>
          <w:tcPr>
            <w:tcW w:type="dxa" w:w="1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KEEP structure</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Keep the escalation structure from AD 2: small results first, then bigger changes. Sleep improves. Then morning stiffness reduces. Then she walks further. Then she does something she had given up on. The progression must feel earned and gradual.</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Gradual results match the narrator's scepticism and the reader's expectations. Quick results would feel like every other product in the drawer.</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15. Expert Validation</w:t>
            </w:r>
          </w:p>
        </w:tc>
        <w:tc>
          <w:tcPr>
            <w:tcW w:type="dxa" w:w="1200"/>
            <w:tcBorders>
              <w:top w:val="single" w:color="999999" w:sz="1"/>
              <w:left w:val="single" w:color="999999" w:sz="1"/>
              <w:bottom w:val="single" w:color="999999" w:sz="1"/>
              <w:right w:val="single" w:color="999999" w:sz="1"/>
            </w:tcBorders>
            <w:shd w:fill="E8F5E9" w:val="clear"/>
            <w:vAlign w:val="top"/>
          </w:tcPr>
          <w:p>
            <w:pPr>
              <w:spacing w:after="40" w:before="0"/>
            </w:pPr>
            <w:r>
              <w:rPr>
                <w:rFonts w:ascii="Helvetica" w:cs="Helvetica" w:eastAsia="Helvetica" w:hAnsi="Helvetica"/>
                <w:b/>
                <w:bCs/>
                <w:i w:val="false"/>
                <w:iCs w:val="false"/>
                <w:sz w:val="18"/>
                <w:szCs w:val="18"/>
              </w:rPr>
              <w:t xml:space="preserve">KEEP</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Introduce Dr. David Sime (22 years hip surgeon experience) as expert validation. Keep it brief --- the narrator has already done the mechanism work. The expert confirms, he does not lead.</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Expert validation lands better after the narrator's own understanding has been established. The reader thinks "that makes sense" before the expert confirms it.</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16. Proof --- Others</w:t>
            </w:r>
          </w:p>
        </w:tc>
        <w:tc>
          <w:tcPr>
            <w:tcW w:type="dxa" w:w="1200"/>
            <w:tcBorders>
              <w:top w:val="single" w:color="999999" w:sz="1"/>
              <w:left w:val="single" w:color="999999" w:sz="1"/>
              <w:bottom w:val="single" w:color="999999" w:sz="1"/>
              <w:right w:val="single" w:color="999999" w:sz="1"/>
            </w:tcBorders>
            <w:shd w:fill="F3E5F5" w:val="clear"/>
            <w:vAlign w:val="top"/>
          </w:tcPr>
          <w:p>
            <w:pPr>
              <w:spacing w:after="40" w:before="0"/>
            </w:pPr>
            <w:r>
              <w:rPr>
                <w:rFonts w:ascii="Helvetica" w:cs="Helvetica" w:eastAsia="Helvetica" w:hAnsi="Helvetica"/>
                <w:b/>
                <w:bCs/>
                <w:i w:val="false"/>
                <w:iCs w:val="false"/>
                <w:sz w:val="18"/>
                <w:szCs w:val="18"/>
              </w:rPr>
              <w:t xml:space="preserve">ADD</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Add 2--3 brief testimonials from other women who also had "the drawer." Keep them short, specific, and focused on the before/after contrast. "My drawer had twenty-two things in it. I do not add to it anymore."</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Social proof from fellow Failed Solution Veterans is more powerful than general testimonials. The shared language of the drawer creates tribal identification.</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17. CTA</w:t>
            </w:r>
          </w:p>
        </w:tc>
        <w:tc>
          <w:tcPr>
            <w:tcW w:type="dxa" w:w="1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KEEP soft</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Keep the soft CTA from AD 2. No urgency, no scarcity, no countdown. "If you have a drawer like mine, you might want to try this." The CTA should feel like a suggestion from a friend, not a sales close.</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Hard CTAs feel like every other product that ended up in the drawer. Soft CTAs respect the reader's intelligence and scepticism.</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18. Guarantee</w:t>
            </w:r>
          </w:p>
        </w:tc>
        <w:tc>
          <w:tcPr>
            <w:tcW w:type="dxa" w:w="1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KEEP as character beat</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30-day money-back guarantee delivered as a character moment: "I almost laughed when I saw the money-back guarantee. I have seen a hundred of those. But I thought, fine, if it ends up in the drawer, at least I will get my money back."</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guarantee becomes part of the narrative rather than a sales element. The narrator's cynicism about guarantees mirrors the reader's.</w:t>
            </w:r>
          </w:p>
        </w:tc>
      </w:tr>
      <w:tr>
        <w:tc>
          <w:tcPr>
            <w:tcW w:type="dxa" w:w="8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bCs/>
                <w:i w:val="false"/>
                <w:iCs w:val="false"/>
                <w:sz w:val="18"/>
                <w:szCs w:val="18"/>
              </w:rPr>
              <w:t xml:space="preserve">19. Echo Close</w:t>
            </w:r>
          </w:p>
        </w:tc>
        <w:tc>
          <w:tcPr>
            <w:tcW w:type="dxa" w:w="1200"/>
            <w:tcBorders>
              <w:top w:val="single" w:color="999999" w:sz="1"/>
              <w:left w:val="single" w:color="999999" w:sz="1"/>
              <w:bottom w:val="single" w:color="999999" w:sz="1"/>
              <w:right w:val="single" w:color="999999" w:sz="1"/>
            </w:tcBorders>
            <w:shd w:fill="FFF8E1" w:val="clear"/>
            <w:vAlign w:val="top"/>
          </w:tcPr>
          <w:p>
            <w:pPr>
              <w:spacing w:after="40" w:before="0"/>
            </w:pPr>
            <w:r>
              <w:rPr>
                <w:rFonts w:ascii="Helvetica" w:cs="Helvetica" w:eastAsia="Helvetica" w:hAnsi="Helvetica"/>
                <w:b/>
                <w:bCs/>
                <w:i w:val="false"/>
                <w:iCs w:val="false"/>
                <w:sz w:val="18"/>
                <w:szCs w:val="18"/>
              </w:rPr>
              <w:t xml:space="preserve">ADAPT</w:t>
            </w:r>
          </w:p>
        </w:tc>
        <w:tc>
          <w:tcPr>
            <w:tcW w:type="dxa" w:w="41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Echo the drawer. "The drawer is still there. I just do not open it anymore. I do not need to." The drawer is not emptied, not cleaned out --- it is simply irrelevant now. The image of the unopened drawer is the proof that something finally worked.</w:t>
            </w:r>
          </w:p>
        </w:tc>
        <w:tc>
          <w:tcPr>
            <w:tcW w:type="dxa" w:w="32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The echo close brings the story full circle. The drawer that opened the ad now closes it --- but its meaning has changed from evidence of failure to evidence of resolution.</w:t>
            </w:r>
          </w:p>
        </w:tc>
      </w:tr>
    </w:tbl>
    <w:p>
      <w:pPr>
        <w:spacing w:after="160" w:before="240"/>
      </w:pPr>
      <w:r>
        <w:rPr>
          <w:rFonts w:ascii="Helvetica" w:cs="Helvetica" w:eastAsia="Helvetica" w:hAnsi="Helvetica"/>
          <w:b/>
          <w:bCs/>
          <w:i w:val="false"/>
          <w:iCs w:val="false"/>
          <w:sz w:val="28"/>
          <w:szCs w:val="28"/>
        </w:rPr>
        <w:t xml:space="preserve">9. Persona &amp; Voice</w:t>
      </w:r>
    </w:p>
    <w:p>
      <w:pPr>
        <w:spacing w:after="120" w:before="160"/>
      </w:pPr>
      <w:r>
        <w:rPr>
          <w:rFonts w:ascii="Helvetica" w:cs="Helvetica" w:eastAsia="Helvetica" w:hAnsi="Helvetica"/>
          <w:b/>
          <w:bCs/>
          <w:i w:val="false"/>
          <w:iCs w:val="false"/>
          <w:sz w:val="24"/>
          <w:szCs w:val="24"/>
        </w:rPr>
        <w:t xml:space="preserve">Narrator Profile</w:t>
      </w:r>
    </w:p>
    <w:p>
      <w:pPr>
        <w:spacing w:after="120" w:before="0"/>
      </w:pPr>
      <w:r>
        <w:rPr>
          <w:rFonts w:ascii="Helvetica" w:cs="Helvetica" w:eastAsia="Helvetica" w:hAnsi="Helvetica"/>
          <w:b w:val="false"/>
          <w:bCs w:val="false"/>
          <w:i w:val="false"/>
          <w:iCs w:val="false"/>
          <w:sz w:val="22"/>
          <w:szCs w:val="22"/>
        </w:rPr>
        <w:t xml:space="preserve">New character --- NOT Maggie Smith. This narrator is a woman aged 56--63 who has been dealing with hip pain for 5+ years. She has spent thousands of dollars on products, treatments, and therapies. She is intelligent, slightly sardonic, and deeply tired of being sold to. She is not angry --- she is resigned. She has a good sense of humour about her own situation, the way people do when they have been through something long enough that it becomes absurd. She might be a retired teacher, a grandmother, someone whose identity is not defined by her pain but whose daily life is shaped by it.</w:t>
      </w:r>
    </w:p>
    <w:p>
      <w:pPr>
        <w:spacing w:after="120" w:before="160"/>
      </w:pPr>
      <w:r>
        <w:rPr>
          <w:rFonts w:ascii="Helvetica" w:cs="Helvetica" w:eastAsia="Helvetica" w:hAnsi="Helvetica"/>
          <w:b/>
          <w:bCs/>
          <w:i w:val="false"/>
          <w:iCs w:val="false"/>
          <w:sz w:val="24"/>
          <w:szCs w:val="24"/>
        </w:rPr>
        <w:t xml:space="preserve">Voice Rules</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First person, past tense, reflective</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No medical jargon unless she is explaining something she learned</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No exclamation marks</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Short sentences when emotional, longer sentences when explanatory</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Self-deprecating but not self-pitying</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Specific details over general claims ("the cream with the green cap" not "various creams")</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Scepticism as the default tone --- belief must be earned on the page</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No em dashes --- use commas, full stops, or restructure the sentence</w:t>
      </w:r>
    </w:p>
    <w:p>
      <w:pPr>
        <w:pStyle w:val="ListParagraph"/>
        <w:numPr>
          <w:ilvl w:val="0"/>
          <w:numId w:val="1"/>
        </w:numPr>
        <w:spacing w:after="60"/>
        <w:ind w:left="720" w:hanging="360"/>
      </w:pPr>
      <w:r>
        <w:rPr>
          <w:rFonts w:ascii="Helvetica" w:cs="Helvetica" w:eastAsia="Helvetica" w:hAnsi="Helvetica"/>
          <w:b w:val="false"/>
          <w:bCs w:val="false"/>
          <w:i w:val="false"/>
          <w:iCs w:val="false"/>
          <w:sz w:val="20"/>
          <w:szCs w:val="20"/>
        </w:rPr>
        <w:t xml:space="preserve">Australian English spelling (colour, favourite, realised)</w:t>
      </w:r>
    </w:p>
    <w:p>
      <w:pPr>
        <w:spacing w:after="120" w:before="160"/>
      </w:pPr>
      <w:r>
        <w:rPr>
          <w:rFonts w:ascii="Helvetica" w:cs="Helvetica" w:eastAsia="Helvetica" w:hAnsi="Helvetica"/>
          <w:b/>
          <w:bCs/>
          <w:i w:val="false"/>
          <w:iCs w:val="false"/>
          <w:sz w:val="24"/>
          <w:szCs w:val="24"/>
        </w:rPr>
        <w:t xml:space="preserve">Suggested Profile</w:t>
      </w:r>
    </w:p>
    <w:p>
      <w:pPr>
        <w:spacing w:after="120" w:before="0"/>
      </w:pPr>
      <w:r>
        <w:rPr>
          <w:rFonts w:ascii="Helvetica" w:cs="Helvetica" w:eastAsia="Helvetica" w:hAnsi="Helvetica"/>
          <w:b w:val="false"/>
          <w:bCs w:val="false"/>
          <w:i w:val="false"/>
          <w:iCs w:val="false"/>
          <w:sz w:val="22"/>
          <w:szCs w:val="22"/>
        </w:rPr>
        <w:t xml:space="preserve">Age 56--63. Dealing with hip pain for 5+ years. Has spent thousands on products and treatments. Former or current professional (teacher, nurse, office manager) --- someone practical and no-nonsense. Lives in suburban Australia. Has adult children. One of them (likely a daughter) is the one who finds the belt for her. She is the kind of person who does her own research, reads reviews, and still gets burned.</w:t>
      </w:r>
    </w:p>
    <w:p>
      <w:pPr>
        <w:spacing w:after="160" w:before="240"/>
      </w:pPr>
      <w:r>
        <w:rPr>
          <w:rFonts w:ascii="Helvetica" w:cs="Helvetica" w:eastAsia="Helvetica" w:hAnsi="Helvetica"/>
          <w:b/>
          <w:bCs/>
          <w:i w:val="false"/>
          <w:iCs w:val="false"/>
          <w:sz w:val="28"/>
          <w:szCs w:val="28"/>
        </w:rPr>
        <w:t xml:space="preserve">10. FB Ad Inspiration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860"/>
        <w:gridCol w:w="3000"/>
      </w:tblGrid>
      <w:tr>
        <w:tc>
          <w:tcPr>
            <w:tcW w:type="dxa" w:w="1500"/>
            <w:tcBorders>
              <w:top w:val="single" w:color="999999" w:sz="1"/>
              <w:left w:val="single" w:color="999999" w:sz="1"/>
              <w:bottom w:val="single" w:color="999999" w:sz="1"/>
              <w:right w:val="single" w:color="999999" w:sz="1"/>
            </w:tcBorders>
            <w:shd w:fill="333333" w:val="clear"/>
            <w:vAlign w:val="center"/>
          </w:tcPr>
          <w:p>
            <w:pPr>
              <w:spacing w:after="40" w:before="0"/>
            </w:pPr>
            <w:r>
              <w:rPr>
                <w:rFonts w:ascii="Helvetica" w:cs="Helvetica" w:eastAsia="Helvetica" w:hAnsi="Helvetica"/>
                <w:b/>
                <w:bCs/>
                <w:i w:val="false"/>
                <w:iCs w:val="false"/>
                <w:color w:val="FFFFFF"/>
                <w:sz w:val="20"/>
                <w:szCs w:val="20"/>
              </w:rPr>
              <w:t xml:space="preserve">Ad</w:t>
            </w:r>
          </w:p>
        </w:tc>
        <w:tc>
          <w:tcPr>
            <w:tcW w:type="dxa" w:w="4860"/>
            <w:tcBorders>
              <w:top w:val="single" w:color="999999" w:sz="1"/>
              <w:left w:val="single" w:color="999999" w:sz="1"/>
              <w:bottom w:val="single" w:color="999999" w:sz="1"/>
              <w:right w:val="single" w:color="999999" w:sz="1"/>
            </w:tcBorders>
            <w:shd w:fill="333333" w:val="clear"/>
            <w:vAlign w:val="center"/>
          </w:tcPr>
          <w:p>
            <w:pPr>
              <w:spacing w:after="40" w:before="0"/>
            </w:pPr>
            <w:r>
              <w:rPr>
                <w:rFonts w:ascii="Helvetica" w:cs="Helvetica" w:eastAsia="Helvetica" w:hAnsi="Helvetica"/>
                <w:b/>
                <w:bCs/>
                <w:i w:val="false"/>
                <w:iCs w:val="false"/>
                <w:color w:val="FFFFFF"/>
                <w:sz w:val="20"/>
                <w:szCs w:val="20"/>
              </w:rPr>
              <w:t xml:space="preserve">Link</w:t>
            </w:r>
          </w:p>
        </w:tc>
        <w:tc>
          <w:tcPr>
            <w:tcW w:type="dxa" w:w="3000"/>
            <w:tcBorders>
              <w:top w:val="single" w:color="999999" w:sz="1"/>
              <w:left w:val="single" w:color="999999" w:sz="1"/>
              <w:bottom w:val="single" w:color="999999" w:sz="1"/>
              <w:right w:val="single" w:color="999999" w:sz="1"/>
            </w:tcBorders>
            <w:shd w:fill="333333" w:val="clear"/>
            <w:vAlign w:val="center"/>
          </w:tcPr>
          <w:p>
            <w:pPr>
              <w:spacing w:after="40" w:before="0"/>
            </w:pPr>
            <w:r>
              <w:rPr>
                <w:rFonts w:ascii="Helvetica" w:cs="Helvetica" w:eastAsia="Helvetica" w:hAnsi="Helvetica"/>
                <w:b/>
                <w:bCs/>
                <w:i w:val="false"/>
                <w:iCs w:val="false"/>
                <w:color w:val="FFFFFF"/>
                <w:sz w:val="20"/>
                <w:szCs w:val="20"/>
              </w:rPr>
              <w:t xml:space="preserve">Role</w:t>
            </w:r>
          </w:p>
        </w:tc>
      </w:tr>
      <w:tr>
        <w:tc>
          <w:tcPr>
            <w:tcW w:type="dxa" w:w="15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AD 2: "The 14 Month"</w:t>
            </w:r>
          </w:p>
        </w:tc>
        <w:tc>
          <w:tcPr>
            <w:tcW w:type="dxa" w:w="48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https://www.facebook.com/61578413557917/posts/122179603544947118/</w:t>
            </w:r>
          </w:p>
        </w:tc>
        <w:tc>
          <w:tcPr>
            <w:tcW w:type="dxa" w:w="30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Source DNA --- beat structure template. 30 purchases, 4x ROAS. This concept uses AD 2's proven 19-beat architecture with a new emotional entry point (the drawer) and a new narrator.</w:t>
            </w:r>
          </w:p>
        </w:tc>
      </w:tr>
      <w:tr>
        <w:tc>
          <w:tcPr>
            <w:tcW w:type="dxa" w:w="15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AD 8</w:t>
            </w:r>
          </w:p>
        </w:tc>
        <w:tc>
          <w:tcPr>
            <w:tcW w:type="dxa" w:w="486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https://www.facebook.com/61578413557917/posts/122182109168947118/</w:t>
            </w:r>
          </w:p>
        </w:tc>
        <w:tc>
          <w:tcPr>
            <w:tcW w:type="dxa" w:w="3000"/>
            <w:tcBorders>
              <w:top w:val="single" w:color="999999" w:sz="1"/>
              <w:left w:val="single" w:color="999999" w:sz="1"/>
              <w:bottom w:val="single" w:color="999999" w:sz="1"/>
              <w:right w:val="single" w:color="999999" w:sz="1"/>
            </w:tcBorders>
            <w:vAlign w:val="top"/>
          </w:tcPr>
          <w:p>
            <w:pPr>
              <w:spacing w:after="40" w:before="0"/>
            </w:pPr>
            <w:r>
              <w:rPr>
                <w:rFonts w:ascii="Helvetica" w:cs="Helvetica" w:eastAsia="Helvetica" w:hAnsi="Helvetica"/>
                <w:b w:val="false"/>
                <w:bCs w:val="false"/>
                <w:i w:val="false"/>
                <w:iCs w:val="false"/>
                <w:sz w:val="18"/>
                <w:szCs w:val="18"/>
              </w:rPr>
              <w:t xml:space="preserve">Reference for tone and pacing. AD 8 demonstrates a more reflective, less urgent narrative style that suits this concept's resigned narrator.</w:t>
            </w:r>
          </w:p>
        </w:tc>
      </w:tr>
    </w:tbl>
    <w:p>
      <w:r>
        <w:br w:type="page"/>
      </w:r>
    </w:p>
    <w:p>
      <w:pPr>
        <w:spacing w:after="160" w:before="240"/>
      </w:pPr>
      <w:r>
        <w:rPr>
          <w:rFonts w:ascii="Helvetica" w:cs="Helvetica" w:eastAsia="Helvetica" w:hAnsi="Helvetica"/>
          <w:b/>
          <w:bCs/>
          <w:i w:val="false"/>
          <w:iCs w:val="false"/>
          <w:sz w:val="28"/>
          <w:szCs w:val="28"/>
        </w:rPr>
        <w:t xml:space="preserve">Production Deliverable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Brief ID</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HIP-NEW-16</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Concept</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The Drawer of Things That Failed</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Type</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NEW</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Format</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#46 Text, long-form (~1,400--2,200 words)</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Creative Type</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IMG</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Platform</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Facebook</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Page</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Maggie Smith</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Funnel</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Top of Funnel</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ICP</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The Failed Solution Veteran</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Hook Type</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Specificity + Shared Experience</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Persona</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New character (female, 56--63, chronic hip pain 5+ years)</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Word Count</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~1,400--2,200 words</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Product</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4-in-1 Hip Therapy Belt</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Price</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$149.99 AUD</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Guarantee</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30-day money-back</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Destination URL</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hearthealthco.com.au/pages/hb1</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Key Specs</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Red light 660nm + Near-infrared 850nm + Heat + Vibration</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LP Persona</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Dr. David Sime (22 years hip surgeon experience)</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Source DNA</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AD 2 "The 14 Month" --- 30 purchases, 4x ROAS</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FB Ad Inspo</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AD 2: https://www.facebook.com/61578413557917/posts/122179603544947118/</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Deliverables</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1x long-form native text ad script (~1,400--2,200 words)</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Video Direction</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N/A</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Video Length</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N/A</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Aspect Ratio</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N/A</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Thumbnail</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N/A</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Music/SFX</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N/A</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Storyboard</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N/A</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Image Direction</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N/A --- handled separately by Dell</w:t>
            </w:r>
          </w:p>
        </w:tc>
      </w:tr>
      <w:tr>
        <w:tc>
          <w:tcPr>
            <w:tcW w:type="dxa" w:w="2800"/>
            <w:tcBorders>
              <w:top w:val="single" w:color="999999" w:sz="1"/>
              <w:left w:val="single" w:color="999999" w:sz="1"/>
              <w:bottom w:val="single" w:color="999999" w:sz="1"/>
              <w:right w:val="single" w:color="999999" w:sz="1"/>
            </w:tcBorders>
            <w:shd w:fill="F2F2F2" w:val="clear"/>
            <w:vAlign w:val="center"/>
          </w:tcPr>
          <w:p>
            <w:pPr>
              <w:spacing w:after="40" w:before="0"/>
            </w:pPr>
            <w:r>
              <w:rPr>
                <w:rFonts w:ascii="Helvetica" w:cs="Helvetica" w:eastAsia="Helvetica" w:hAnsi="Helvetica"/>
                <w:b/>
                <w:bCs/>
                <w:i w:val="false"/>
                <w:iCs w:val="false"/>
                <w:sz w:val="20"/>
                <w:szCs w:val="20"/>
              </w:rPr>
              <w:t xml:space="preserve">Compliance</w:t>
            </w:r>
          </w:p>
        </w:tc>
        <w:tc>
          <w:tcPr>
            <w:tcW w:type="dxa" w:w="6560"/>
            <w:tcBorders>
              <w:top w:val="single" w:color="999999" w:sz="1"/>
              <w:left w:val="single" w:color="999999" w:sz="1"/>
              <w:bottom w:val="single" w:color="999999" w:sz="1"/>
              <w:right w:val="single" w:color="999999" w:sz="1"/>
            </w:tcBorders>
            <w:vAlign w:val="center"/>
          </w:tcPr>
          <w:p>
            <w:pPr>
              <w:spacing w:after="40" w:before="0"/>
            </w:pPr>
            <w:r>
              <w:rPr>
                <w:rFonts w:ascii="Helvetica" w:cs="Helvetica" w:eastAsia="Helvetica" w:hAnsi="Helvetica"/>
                <w:b w:val="false"/>
                <w:bCs w:val="false"/>
                <w:i w:val="false"/>
                <w:iCs w:val="false"/>
                <w:sz w:val="20"/>
                <w:szCs w:val="20"/>
              </w:rPr>
              <w:t xml:space="preserve">N/A --- handled separately by team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2026-08-18T09:31:41.799Z</dcterms:created>
  <dcterms:modified xsi:type="dcterms:W3CDTF">2026-08-18T09:31:41.799Z</dcterms:modified>
</cp:coreProperties>
</file>

<file path=docProps/custom.xml><?xml version="1.0" encoding="utf-8"?>
<Properties xmlns="http://schemas.openxmlformats.org/officeDocument/2006/custom-properties" xmlns:vt="http://schemas.openxmlformats.org/officeDocument/2006/docPropsVTypes"/>
</file>