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00"/>
        <w:jc w:val="center"/>
      </w:pPr>
      <w:r>
        <w:rPr>
          <w:color w:val="1F4E79"/>
          <w:sz w:val="24"/>
          <w:szCs w:val="24"/>
        </w:rPr>
        <w:t xml:space="preserve">GRADUATION PROJECT</w:t>
      </w:r>
    </w:p>
    <w:p>
      <w:pPr>
        <w:spacing w:after="100"/>
        <w:jc w:val="center"/>
      </w:pPr>
      <w:r>
        <w:rPr>
          <w:sz w:val="24"/>
          <w:szCs w:val="24"/>
        </w:rPr>
        <w:t xml:space="preserve"/>
      </w:r>
    </w:p>
    <w:p>
      <w:pPr>
        <w:spacing w:after="100"/>
        <w:jc w:val="center"/>
      </w:pPr>
      <w:r>
        <w:rPr>
          <w:b/>
          <w:bCs/>
          <w:color w:val="1F4E79"/>
          <w:sz w:val="44"/>
          <w:szCs w:val="44"/>
        </w:rPr>
        <w:t xml:space="preserve">Lightweight SIEM &amp; SOAR</w:t>
      </w:r>
    </w:p>
    <w:p>
      <w:pPr>
        <w:spacing w:after="100"/>
        <w:jc w:val="center"/>
      </w:pPr>
      <w:r>
        <w:rPr>
          <w:sz w:val="28"/>
          <w:szCs w:val="28"/>
        </w:rPr>
        <w:t xml:space="preserve">A Resource-Efficient Security Information</w:t>
      </w:r>
    </w:p>
    <w:p>
      <w:pPr>
        <w:spacing w:after="100"/>
        <w:jc w:val="center"/>
      </w:pPr>
      <w:r>
        <w:rPr>
          <w:sz w:val="28"/>
          <w:szCs w:val="28"/>
        </w:rPr>
        <w:t xml:space="preserve">and Event Management Platform with</w:t>
      </w:r>
    </w:p>
    <w:p>
      <w:pPr>
        <w:spacing w:after="100"/>
        <w:jc w:val="center"/>
      </w:pPr>
      <w:r>
        <w:rPr>
          <w:sz w:val="28"/>
          <w:szCs w:val="28"/>
        </w:rPr>
        <w:t xml:space="preserve">Automated Response</w:t>
      </w:r>
    </w:p>
    <w:p>
      <w:pPr>
        <w:spacing w:before="800"/>
      </w:pPr>
      <w:r>
        <w:t xml:space="preserve"/>
      </w:r>
    </w:p>
    <w:p>
      <w:pPr>
        <w:spacing w:after="100"/>
        <w:jc w:val="center"/>
      </w:pPr>
      <w:r>
        <w:rPr>
          <w:i/>
          <w:iCs/>
          <w:sz w:val="22"/>
          <w:szCs w:val="22"/>
        </w:rPr>
        <w:t xml:space="preserve">Built on FastAPI + React with real MITRE ATT&amp;CK</w:t>
      </w:r>
    </w:p>
    <w:p>
      <w:pPr>
        <w:spacing w:after="100"/>
        <w:jc w:val="center"/>
      </w:pPr>
      <w:r>
        <w:rPr>
          <w:i/>
          <w:iCs/>
          <w:sz w:val="22"/>
          <w:szCs w:val="22"/>
        </w:rPr>
        <w:t xml:space="preserve">mapping and Cyber Kill Chain phase attribution</w:t>
      </w:r>
    </w:p>
    <w:p>
      <w:pPr>
        <w:spacing w:before="1800"/>
      </w:pPr>
      <w:r>
        <w:t xml:space="preserve"/>
      </w:r>
    </w:p>
    <w:p>
      <w:pPr>
        <w:spacing w:after="100"/>
        <w:jc w:val="center"/>
      </w:pPr>
      <w:r>
        <w:rPr>
          <w:sz w:val="20"/>
          <w:szCs w:val="20"/>
        </w:rPr>
        <w:t xml:space="preserve">Submitted in partial fulfillment of the requirements</w:t>
      </w:r>
    </w:p>
    <w:p>
      <w:pPr>
        <w:spacing w:after="100"/>
        <w:jc w:val="center"/>
      </w:pPr>
      <w:r>
        <w:rPr>
          <w:sz w:val="20"/>
          <w:szCs w:val="20"/>
        </w:rPr>
        <w:t xml:space="preserve">for the Bachelor of Cyber Security degree</w:t>
      </w:r>
    </w:p>
    <w:p>
      <w:pPr>
        <w:spacing w:before="600"/>
      </w:pPr>
      <w:r>
        <w:t xml:space="preserve"/>
      </w:r>
    </w:p>
    <w:p>
      <w:pPr>
        <w:spacing w:after="100"/>
        <w:jc w:val="center"/>
      </w:pPr>
      <w:r>
        <w:rPr>
          <w:b/>
          <w:bCs/>
          <w:sz w:val="20"/>
          <w:szCs w:val="20"/>
        </w:rPr>
        <w:t xml:space="preserve">Academic Year 2025 – 2026</w:t>
      </w:r>
    </w:p>
    <w:p>
      <w:r>
        <w:br w:type="page"/>
      </w:r>
    </w:p>
    <w:p>
      <w:pPr>
        <w:pStyle w:val="Heading1"/>
        <w:spacing w:after="300"/>
        <w:jc w:val="center"/>
      </w:pPr>
      <w:r>
        <w:t xml:space="preserve">Abstract</w:t>
      </w:r>
    </w:p>
    <w:p>
      <w:pPr>
        <w:spacing w:after="120"/>
        <w:jc w:val="both"/>
      </w:pPr>
      <w:r>
        <w:t xml:space="preserve">Security Information and Event Management (SIEM) platforms are traditionally heavyweight — a modern Wazuh + Elasticsearch + Kibana deployment routinely consumes three to four gigabytes of RAM before the first log line is ingested, placing them out of reach for the small-lab, edge, and classroom environments where security telemetry is arguably needed most. This project delivers a purpose-built lightweight SIEM that runs comfortably under two gigabytes of memory yet preserves every architectural layer of a conventional SIEM: log collection, normalization, rule-based detection, MITRE ATT&amp;CK and Cyber Kill Chain attribution, alert investigation, and — the SOAR half of the acronym — automated containment response.</w:t>
      </w:r>
    </w:p>
    <w:p>
      <w:pPr>
        <w:spacing w:after="120"/>
        <w:jc w:val="both"/>
      </w:pPr>
      <w:r>
        <w:t xml:space="preserve">The system is implemented as a Python 3.11 backend (FastAPI, SQLAlchemy 2, SQLite) exposing a REST + WebSocket API, and a React 18 / TypeScript single-page console that renders every metric from live data with zero placeholder numbers. Five detection rules — brute-force authentication, network port scanning, successful login after repeated failures, critical file integrity change, and privilege escalation — are implemented as data in a database table, allowing runtime tuning without code changes.</w:t>
      </w:r>
    </w:p>
    <w:p>
      <w:pPr>
        <w:spacing w:after="120"/>
        <w:jc w:val="both"/>
      </w:pPr>
      <w:r>
        <w:t xml:space="preserve">The platform was validated end-to-end against a real Kali Linux attacker targeting an Ubuntu 22.04 server. A five-phase intrusion drill — spanning the entire Cyber Kill Chain from reconnaissance through persistence — successfully triggered every implemented rule with correct MITRE tagging and appropriate SOAR containment response, in under thirty seconds. An automated smoke-test harness reproduces this validation on demand.</w:t>
      </w:r>
    </w:p>
    <w:p>
      <w:pPr>
        <w:spacing w:after="120"/>
      </w:pPr>
      <w:r>
        <w:rPr>
          <w:b/>
          <w:bCs/>
        </w:rPr>
        <w:t xml:space="preserve">Keywords: </w:t>
      </w:r>
      <w:r>
        <w:t xml:space="preserve">SIEM, SOAR, Cyber Kill Chain, MITRE ATT&amp;CK, FastAPI, React, Wazuh, threat detection, incident response, brute-force, port scan, privilege escalation, log normalization.</w:t>
      </w:r>
    </w:p>
    <w:p>
      <w:pPr>
        <w:pStyle w:val="Heading1"/>
        <w:pageBreakBefore/>
        <w:spacing w:after="200" w:before="300"/>
      </w:pPr>
      <w:r>
        <w:t xml:space="preserve">Chapter 1 — Introduction</w:t>
      </w:r>
    </w:p>
    <w:p>
      <w:pPr>
        <w:pStyle w:val="Heading2"/>
        <w:spacing w:after="120" w:before="240"/>
      </w:pPr>
      <w:r>
        <w:t xml:space="preserve">1.1 Background</w:t>
      </w:r>
    </w:p>
    <w:p>
      <w:pPr>
        <w:spacing w:after="120"/>
        <w:jc w:val="both"/>
      </w:pPr>
      <w:r>
        <w:t xml:space="preserve">The volume of security events generated by even a modest organization has outpaced the ability of human operators to review them individually. A single Linux server producing five hundred authentication events per hour will produce over four million events per year; a small business network with twenty such hosts crosses eighty million. Security Information and Event Management (SIEM) platforms exist to collapse this stream into a small queue of investigable alerts by applying deterministic detection rules and, increasingly, by taking automated containment actions — the SOAR (Security Orchestration, Automation and Response) discipline.</w:t>
      </w:r>
    </w:p>
    <w:p>
      <w:pPr>
        <w:spacing w:after="120"/>
        <w:jc w:val="both"/>
      </w:pPr>
      <w:r>
        <w:t xml:space="preserve">Established open-source options — the Wazuh + Elasticsearch + Kibana stack, SecurityOnion, Graylog + Sigma — provide comprehensive functionality but carry significant resource costs. Elasticsearch alone recommends a minimum JVM heap of one to two gigabytes and commonly requires four gigabytes of RAM to run stably; adding Wazuh Manager, Kibana, and the host operating system typically requires four to six gigabytes total. These figures are incompatible with the &lt; 2 GB RAM constraint under which many educational, research, and small-business deployments must operate.</w:t>
      </w:r>
    </w:p>
    <w:p>
      <w:pPr>
        <w:pStyle w:val="Heading2"/>
        <w:spacing w:after="120" w:before="240"/>
      </w:pPr>
      <w:r>
        <w:t xml:space="preserve">1.2 Problem Statement</w:t>
      </w:r>
    </w:p>
    <w:p>
      <w:pPr>
        <w:spacing w:after="120"/>
      </w:pPr>
      <w:r>
        <w:t xml:space="preserve">How can a functionally-complete SIEM &amp; SOAR platform — with rule-based detection, MITRE ATT&amp;CK mapping, Cyber Kill Chain attribution, real-time alerting, investigation workflow, and automated response — be delivered under a two-gigabyte RAM ceiling without silently omitting capabilities the label implies?</w:t>
      </w:r>
    </w:p>
    <w:p>
      <w:pPr>
        <w:pStyle w:val="Heading2"/>
        <w:spacing w:after="120" w:before="240"/>
      </w:pPr>
      <w:r>
        <w:t xml:space="preserve">1.3 Objectives</w:t>
      </w:r>
    </w:p>
    <w:p>
      <w:pPr>
        <w:spacing w:after="120"/>
      </w:pPr>
      <w:r>
        <w:rPr>
          <w:b/>
          <w:bCs/>
        </w:rPr>
        <w:t xml:space="preserve">O1 — Functional parity. </w:t>
      </w:r>
      <w:r>
        <w:t xml:space="preserve">Preserve every architectural layer of a conventional SIEM: collection, normalization, detection, correlation, investigation, response, and visualization.</w:t>
      </w:r>
    </w:p>
    <w:p>
      <w:pPr>
        <w:spacing w:after="120"/>
      </w:pPr>
      <w:r>
        <w:rPr>
          <w:b/>
          <w:bCs/>
        </w:rPr>
        <w:t xml:space="preserve">O2 — Resource efficiency. </w:t>
      </w:r>
      <w:r>
        <w:t xml:space="preserve">Run the full stack — backend, database, web console — comfortably under 2 GB of RAM on a lab virtual machine or edge device.</w:t>
      </w:r>
    </w:p>
    <w:p>
      <w:pPr>
        <w:spacing w:after="120"/>
      </w:pPr>
      <w:r>
        <w:rPr>
          <w:b/>
          <w:bCs/>
        </w:rPr>
        <w:t xml:space="preserve">O3 — Real detection. </w:t>
      </w:r>
      <w:r>
        <w:t xml:space="preserve">Implement the five detection rules specified in the project scoping document (Table 1), each backed by a unit test and an end-to-end integration test.</w:t>
      </w:r>
    </w:p>
    <w:p>
      <w:pPr>
        <w:spacing w:after="120"/>
      </w:pPr>
      <w:r>
        <w:rPr>
          <w:b/>
          <w:bCs/>
        </w:rPr>
        <w:t xml:space="preserve">O4 — Honest scope. </w:t>
      </w:r>
      <w:r>
        <w:t xml:space="preserve">Never fabricate data. If a subsystem is unimplemented, the health endpoint reports it honestly; if a Wazuh manager is unreachable, the console says so rather than showing a decorative badge.</w:t>
      </w:r>
    </w:p>
    <w:p>
      <w:pPr>
        <w:spacing w:after="120"/>
      </w:pPr>
      <w:r>
        <w:rPr>
          <w:b/>
          <w:bCs/>
        </w:rPr>
        <w:t xml:space="preserve">O5 — Automated response. </w:t>
      </w:r>
      <w:r>
        <w:t xml:space="preserve">Decide and record a containment action for every high-severity alert, scoped as record-only by design so a public demonstration cannot accidentally disable production accounts.</w:t>
      </w:r>
    </w:p>
    <w:p>
      <w:pPr>
        <w:spacing w:after="120"/>
      </w:pPr>
      <w:r>
        <w:rPr>
          <w:b/>
          <w:bCs/>
        </w:rPr>
        <w:t xml:space="preserve">O6 — Framework mapping. </w:t>
      </w:r>
      <w:r>
        <w:t xml:space="preserve">Every rule and every alert carries both its MITRE ATT&amp;CK technique identifier and its Cyber Kill Chain phase name — two distinct frameworks, both required.</w:t>
      </w:r>
    </w:p>
    <w:p>
      <w:pPr>
        <w:spacing w:after="120"/>
      </w:pPr>
      <w:r>
        <w:rPr>
          <w:b/>
          <w:bCs/>
        </w:rPr>
        <w:t xml:space="preserve">O7 — Real-world validation. </w:t>
      </w:r>
      <w:r>
        <w:t xml:space="preserve">Demonstrate detection on genuine attack traffic produced by a Kali Linux attacker against an Ubuntu target, not on hand-crafted replay data.</w:t>
      </w:r>
    </w:p>
    <w:p>
      <w:pPr>
        <w:pStyle w:val="Heading2"/>
        <w:spacing w:after="120" w:before="240"/>
      </w:pPr>
      <w:r>
        <w:t xml:space="preserve">1.4 Scope and limitations</w:t>
      </w:r>
    </w:p>
    <w:p>
      <w:pPr>
        <w:spacing w:after="120"/>
      </w:pPr>
      <w:r>
        <w:t xml:space="preserve">The project deliberately scopes SOAR containment as decision + recording, not execution. A graduation project that ships a self-triggering remote-firewall changer on a lab network is a liability; a system that records exactly what response would have been taken, for which alert, and why, demonstrates the same design principles safely. A production deployment can plug an executor into the SOAR_EXECUTE code path without changing the schema or the console.</w:t>
      </w:r>
    </w:p>
    <w:p>
      <w:pPr>
        <w:spacing w:after="120"/>
      </w:pPr>
      <w:r>
        <w:t xml:space="preserve">The platform ingests logs rather than raw packets — it is a SIEM, not an IDS. Integration with a real Wazuh Manager is supported as an optional upstream data source; the platform is nevertheless functionally complete without Wazuh being present.</w:t>
      </w:r>
    </w:p>
    <w:p>
      <w:pPr>
        <w:pStyle w:val="Heading2"/>
        <w:spacing w:after="120" w:before="240"/>
      </w:pPr>
      <w:r>
        <w:t xml:space="preserve">1.5 Structure of this report</w:t>
      </w:r>
    </w:p>
    <w:p>
      <w:pPr>
        <w:spacing w:after="120"/>
      </w:pPr>
      <w:r>
        <w:t xml:space="preserve">Chapter 2 surveys the SIEM/SOAR landscape and the frameworks the project adopts. Chapter 3 presents the system architecture and its five layers. Chapter 4 details each of the five detection rules, its condition, its MITRE and Kill Chain mapping, and its implementation. Chapter 5 documents the automated-response subsystem. Chapter 6 describes the testing strategy and the end-to-end validation drill. Chapter 7 presents results and measurements. Chapter 8 concludes and outlines future work.</w:t>
      </w:r>
    </w:p>
    <w:p>
      <w:pPr>
        <w:pStyle w:val="Heading1"/>
        <w:pageBreakBefore/>
        <w:spacing w:after="200" w:before="300"/>
      </w:pPr>
      <w:r>
        <w:t xml:space="preserve">Chapter 2 — Background and Related Work</w:t>
      </w:r>
    </w:p>
    <w:p>
      <w:pPr>
        <w:pStyle w:val="Heading2"/>
        <w:spacing w:after="120" w:before="240"/>
      </w:pPr>
      <w:r>
        <w:t xml:space="preserve">2.1 The SIEM pipeline</w:t>
      </w:r>
    </w:p>
    <w:p>
      <w:pPr>
        <w:spacing w:after="120"/>
      </w:pPr>
      <w:r>
        <w:t xml:space="preserve">Every SIEM, regardless of vendor, implements the same five-stage pipeline: (1) collection from monitored endpoints; (2) normalization of vendor-specific formats into a canonical event schema; (3) detection by comparing normalized events against configured rules; (4) storage for investigation and retrospective analysis; and (5) visualization for the security operations analyst. The platform documented here preserves this exact structure — chapter 3, section 3.2, walks each layer in turn.</w:t>
      </w:r>
    </w:p>
    <w:p>
      <w:pPr>
        <w:pStyle w:val="Heading2"/>
        <w:spacing w:after="120" w:before="240"/>
      </w:pPr>
      <w:r>
        <w:t xml:space="preserve">2.2 MITRE ATT&amp;CK</w:t>
      </w:r>
    </w:p>
    <w:p>
      <w:pPr>
        <w:spacing w:after="120"/>
      </w:pPr>
      <w:r>
        <w:t xml:space="preserve">MITRE ATT&amp;CK is a globally-adopted knowledge base of adversary tactics and techniques based on real-world observations. Each technique carries a unique identifier (T-number) and belongs to one or more tactics — the why (initial access, persistence, credential access, and so on). This project maps every detection rule to a specific ATT&amp;CK technique so an analyst investigating an alert can pivot directly into MITRE's own documentation, threat-intelligence reports, and mitigation guidance.</w:t>
      </w:r>
    </w:p>
    <w:p>
      <w:pPr>
        <w:pStyle w:val="Heading2"/>
        <w:spacing w:after="120" w:before="240"/>
      </w:pPr>
      <w:r>
        <w:t xml:space="preserve">2.3 The Cyber Kill Chain</w:t>
      </w:r>
    </w:p>
    <w:p>
      <w:pPr>
        <w:spacing w:after="120"/>
      </w:pPr>
      <w:r>
        <w:t xml:space="preserve">The Cyber Kill Chain, developed by Lockheed Martin, decomposes an intrusion into seven ordered phases: reconnaissance, weaponization, delivery, exploitation, installation, command and control, and actions on objectives. A single MITRE technique can appear at different Kill Chain phases depending on the incident context — the frameworks are complementary, not equivalent, and confusing them is a common category error. The platform stores both mappings independently and displays them side by side.</w:t>
      </w:r>
    </w:p>
    <w:p>
      <w:pPr>
        <w:pStyle w:val="Heading2"/>
        <w:spacing w:after="120" w:before="240"/>
      </w:pPr>
      <w:r>
        <w:t xml:space="preserve">2.4 SOAR</w:t>
      </w:r>
    </w:p>
    <w:p>
      <w:pPr>
        <w:spacing w:after="120"/>
      </w:pPr>
      <w:r>
        <w:t xml:space="preserve">Security Orchestration, Automation and Response (SOAR) extends the SIEM with playbook-driven reactions to detected events — blocking a source address at the firewall, isolating a compromised endpoint, disabling a user account. Modern SOAR platforms range from simple record-and-notify systems (Splunk SOAR, IBM QRadar SOAR) to full autonomous-response engines. This project implements the record-and-decide portion — see chapter 5 for the safety rationale behind that scope.</w:t>
      </w:r>
    </w:p>
    <w:p>
      <w:pPr>
        <w:pStyle w:val="Heading2"/>
        <w:spacing w:after="120" w:before="240"/>
      </w:pPr>
      <w:r>
        <w:t xml:space="preserve">2.5 Existing open-source SIEMs and why not one of them</w:t>
      </w:r>
    </w:p>
    <w:p>
      <w:pPr>
        <w:spacing w:after="120"/>
      </w:pPr>
      <w:r>
        <w:t xml:space="preserve">Wazuh, when deployed with its recommended Elasticsearch + Kibana companions, is the closest open-source analogue to this project. It was considered and rejected as the primary implementation because its resource footprint — three to four gigabytes of RAM in the smallest supported single-node deployment — is incompatible with the two-gigabyte target of the scoping document. Wazuh is nevertheless supported as an optional upstream: a running Wazuh Manager can be plugged in via the WAZUH_URL configuration and the platform will merge Wazuh's agents into its Endpoints view and normalize its alerts through the same pipeline as native events. See chapter 3.5 for the integration architecture.</w:t>
      </w:r>
    </w:p>
    <w:p>
      <w:pPr>
        <w:spacing w:after="120"/>
      </w:pPr>
      <w:r>
        <w:t xml:space="preserve">SecurityOnion is a full Linux distribution rather than an application; it is not embeddable into a differently-scoped host system. Graylog carries the same JVM-memory constraints as Elasticsearch. Splunk is not open-source. None of the surveyed alternatives satisfies the &lt; 2 GB RAM objective while also providing a customizable rules engine and a purpose-built console.</w:t>
      </w:r>
    </w:p>
    <w:p>
      <w:pPr>
        <w:pStyle w:val="Heading1"/>
        <w:pageBreakBefore/>
        <w:spacing w:after="200" w:before="300"/>
      </w:pPr>
      <w:r>
        <w:t xml:space="preserve">Chapter 3 — System Architecture</w:t>
      </w:r>
    </w:p>
    <w:p>
      <w:pPr>
        <w:pStyle w:val="Heading2"/>
        <w:spacing w:after="120" w:before="240"/>
      </w:pPr>
      <w:r>
        <w:t xml:space="preserve">3.1 High-level view</w:t>
      </w:r>
    </w:p>
    <w:p>
      <w:pPr>
        <w:spacing w:after="120"/>
      </w:pPr>
      <w:r>
        <w:t xml:space="preserve">The platform is structured as two independent processes communicating over HTTP and WebSocket:</w:t>
      </w:r>
    </w:p>
    <w:p>
      <w:pPr>
        <w:pStyle w:val="ListParagraph"/>
        <w:numPr>
          <w:ilvl w:val="0"/>
          <w:numId w:val="2"/>
        </w:numPr>
        <w:spacing w:after="60"/>
      </w:pPr>
      <w:r>
        <w:t xml:space="preserve">The BACKEND — a Python 3.11 FastAPI application backed by SQLite. It exposes the REST API (/api/*), the WebSocket live stream (/ws/stream), and the health endpoint (/health). All detection, normalization, storage, and SOAR logic live here.</w:t>
      </w:r>
    </w:p>
    <w:p>
      <w:pPr>
        <w:pStyle w:val="ListParagraph"/>
        <w:numPr>
          <w:ilvl w:val="0"/>
          <w:numId w:val="2"/>
        </w:numPr>
        <w:spacing w:after="60"/>
      </w:pPr>
      <w:r>
        <w:t xml:space="preserve">The FRONTEND — a React 18 / TypeScript single-page application built with Vite. It consumes the REST API for history and the WebSocket for real-time updates, and it renders every metric from live backend data with no placeholder numbers.</w:t>
      </w:r>
    </w:p>
    <w:p>
      <w:pPr>
        <w:spacing w:after="120"/>
      </w:pPr>
      <w:r>
        <w:t xml:space="preserve">The two processes are packaged as separate Docker images and orchestrated by a single docker-compose file, enabling a one-command deployment on any host with Docker installed. For development, each process runs directly from source (uvicorn and vite respectively) with hot reload.</w:t>
      </w:r>
    </w:p>
    <w:p>
      <w:pPr>
        <w:pStyle w:val="Heading2"/>
        <w:spacing w:after="120" w:before="240"/>
      </w:pPr>
      <w:r>
        <w:t xml:space="preserve">3.2 The five-layer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shd w:fill="1F4E79" w:val="clear"/>
          </w:tcPr>
          <w:p>
            <w:pPr>
              <w:spacing w:after="120"/>
            </w:pPr>
            <w:r>
              <w:rPr>
                <w:b/>
                <w:bCs/>
                <w:color w:val="FFFFFF"/>
              </w:rPr>
              <w:t xml:space="preserve">Layer</w:t>
            </w:r>
          </w:p>
        </w:tc>
        <w:tc>
          <w:tcPr>
            <w:tcW w:type="dxa" w:w="3500"/>
            <w:shd w:fill="1F4E79" w:val="clear"/>
          </w:tcPr>
          <w:p>
            <w:pPr>
              <w:spacing w:after="120"/>
            </w:pPr>
            <w:r>
              <w:rPr>
                <w:b/>
                <w:bCs/>
                <w:color w:val="FFFFFF"/>
              </w:rPr>
              <w:t xml:space="preserve">Description</w:t>
            </w:r>
          </w:p>
        </w:tc>
        <w:tc>
          <w:tcPr>
            <w:tcW w:type="dxa" w:w="4000"/>
            <w:shd w:fill="1F4E79" w:val="clear"/>
          </w:tcPr>
          <w:p>
            <w:pPr>
              <w:spacing w:after="120"/>
            </w:pPr>
            <w:r>
              <w:rPr>
                <w:b/>
                <w:bCs/>
                <w:color w:val="FFFFFF"/>
              </w:rPr>
              <w:t xml:space="preserve">Implementation</w:t>
            </w:r>
          </w:p>
        </w:tc>
      </w:tr>
      <w:tr>
        <w:tc>
          <w:tcPr>
            <w:tcW w:type="dxa" w:w="2000"/>
          </w:tcPr>
          <w:p>
            <w:pPr>
              <w:spacing w:after="120"/>
            </w:pPr>
            <w:r>
              <w:t xml:space="preserve">1. Log Sources</w:t>
            </w:r>
          </w:p>
        </w:tc>
        <w:tc>
          <w:tcPr>
            <w:tcW w:type="dxa" w:w="3500"/>
          </w:tcPr>
          <w:p>
            <w:pPr>
              <w:spacing w:after="120"/>
            </w:pPr>
            <w:r>
              <w:t xml:space="preserve">Endpoints producing events: Linux servers, Windows PCs, network devices, applications.</w:t>
            </w:r>
          </w:p>
        </w:tc>
        <w:tc>
          <w:tcPr>
            <w:tcW w:type="dxa" w:w="4000"/>
          </w:tcPr>
          <w:p>
            <w:pPr>
              <w:spacing w:after="120"/>
            </w:pPr>
            <w:r>
              <w:t xml:space="preserve">Any HTTP client that can POST JSON to /api/logs.</w:t>
            </w:r>
          </w:p>
        </w:tc>
      </w:tr>
      <w:tr>
        <w:tc>
          <w:tcPr>
            <w:tcW w:type="dxa" w:w="2000"/>
          </w:tcPr>
          <w:p>
            <w:pPr>
              <w:spacing w:after="120"/>
            </w:pPr>
            <w:r>
              <w:t xml:space="preserve">2. Collection</w:t>
            </w:r>
          </w:p>
        </w:tc>
        <w:tc>
          <w:tcPr>
            <w:tcW w:type="dxa" w:w="3500"/>
          </w:tcPr>
          <w:p>
            <w:pPr>
              <w:spacing w:after="120"/>
            </w:pPr>
            <w:r>
              <w:t xml:space="preserve">Transport from source to SIEM, historically via encrypted agents.</w:t>
            </w:r>
          </w:p>
        </w:tc>
        <w:tc>
          <w:tcPr>
            <w:tcW w:type="dxa" w:w="4000"/>
          </w:tcPr>
          <w:p>
            <w:pPr>
              <w:spacing w:after="120"/>
            </w:pPr>
            <w:r>
              <w:t xml:space="preserve">Direct REST ingestion (POST /api/logs) with JWT authentication and Pydantic input validation.</w:t>
            </w:r>
          </w:p>
        </w:tc>
      </w:tr>
      <w:tr>
        <w:tc>
          <w:tcPr>
            <w:tcW w:type="dxa" w:w="2000"/>
          </w:tcPr>
          <w:p>
            <w:pPr>
              <w:spacing w:after="120"/>
            </w:pPr>
            <w:r>
              <w:t xml:space="preserve">3. Processing &amp; Analysis</w:t>
            </w:r>
          </w:p>
        </w:tc>
        <w:tc>
          <w:tcPr>
            <w:tcW w:type="dxa" w:w="3500"/>
          </w:tcPr>
          <w:p>
            <w:pPr>
              <w:spacing w:after="120"/>
            </w:pPr>
            <w:r>
              <w:t xml:space="preserve">Parse, normalize, evaluate rules, correlate.</w:t>
            </w:r>
          </w:p>
        </w:tc>
        <w:tc>
          <w:tcPr>
            <w:tcW w:type="dxa" w:w="4000"/>
          </w:tcPr>
          <w:p>
            <w:pPr>
              <w:spacing w:after="120"/>
            </w:pPr>
            <w:r>
              <w:t xml:space="preserve">app/ingestion (normalizer, service) → app/detection/engine → app/detection/rules/*</w:t>
            </w:r>
          </w:p>
        </w:tc>
      </w:tr>
      <w:tr>
        <w:tc>
          <w:tcPr>
            <w:tcW w:type="dxa" w:w="2000"/>
          </w:tcPr>
          <w:p>
            <w:pPr>
              <w:spacing w:after="120"/>
            </w:pPr>
            <w:r>
              <w:t xml:space="preserve">4. Storage</w:t>
            </w:r>
          </w:p>
        </w:tc>
        <w:tc>
          <w:tcPr>
            <w:tcW w:type="dxa" w:w="3500"/>
          </w:tcPr>
          <w:p>
            <w:pPr>
              <w:spacing w:after="120"/>
            </w:pPr>
            <w:r>
              <w:t xml:space="preserve">Persist events and alerts for investigation and search.</w:t>
            </w:r>
          </w:p>
        </w:tc>
        <w:tc>
          <w:tcPr>
            <w:tcW w:type="dxa" w:w="4000"/>
          </w:tcPr>
          <w:p>
            <w:pPr>
              <w:spacing w:after="120"/>
            </w:pPr>
            <w:r>
              <w:t xml:space="preserve">SQLAlchemy 2 → SQLite (default), or PostgreSQL via a one-line DATABASE_URL change.</w:t>
            </w:r>
          </w:p>
        </w:tc>
      </w:tr>
      <w:tr>
        <w:tc>
          <w:tcPr>
            <w:tcW w:type="dxa" w:w="2000"/>
          </w:tcPr>
          <w:p>
            <w:pPr>
              <w:spacing w:after="120"/>
            </w:pPr>
            <w:r>
              <w:t xml:space="preserve">5. Visualization</w:t>
            </w:r>
          </w:p>
        </w:tc>
        <w:tc>
          <w:tcPr>
            <w:tcW w:type="dxa" w:w="3500"/>
          </w:tcPr>
          <w:p>
            <w:pPr>
              <w:spacing w:after="120"/>
            </w:pPr>
            <w:r>
              <w:t xml:space="preserve">Analyst-facing console.</w:t>
            </w:r>
          </w:p>
        </w:tc>
        <w:tc>
          <w:tcPr>
            <w:tcW w:type="dxa" w:w="4000"/>
          </w:tcPr>
          <w:p>
            <w:pPr>
              <w:spacing w:after="120"/>
            </w:pPr>
            <w:r>
              <w:t xml:space="preserve">React 18 SPA rendering dashboard, alerts, log search, rules, endpoints, response, retention, and simulation pages.</w:t>
            </w:r>
          </w:p>
        </w:tc>
      </w:tr>
    </w:tbl>
    <w:p>
      <w:pPr>
        <w:pStyle w:val="Heading2"/>
        <w:spacing w:after="120" w:before="240"/>
      </w:pPr>
      <w:r>
        <w:t xml:space="preserve">3.3 Backend structure</w:t>
      </w:r>
    </w:p>
    <w:p>
      <w:pPr>
        <w:spacing w:after="120"/>
      </w:pPr>
      <w:r>
        <w:t xml:space="preserve">The backend source tree deliberately separates concerns:</w:t>
      </w:r>
    </w:p>
    <w:p>
      <w:pPr>
        <w:shd w:fill="F2F2F2" w:val="clear"/>
        <w:spacing w:after="60" w:before="60"/>
      </w:pPr>
      <w:r>
        <w:rPr>
          <w:rFonts w:ascii="Cascadia Mono" w:cs="Cascadia Mono" w:eastAsia="Cascadia Mono" w:hAnsi="Cascadia Mono"/>
          <w:sz w:val="18"/>
          <w:szCs w:val="18"/>
        </w:rPr>
        <w:t xml:space="preserve">backend/app/
├── api/routes/        # thin HTTP adapters (routes → services)
├── auth/              # bcrypt hashing, JWT, RBAC dependency
├── config.py          # BaseSettings driven by .env
├── core/init_db.py    # tables, seeded admin, seeded rules, migrations
├── database.py        # SQLAlchemy engine + SessionLocal
├── detection/         # engine dispatcher + one module per rule
├── ingestion/         # LogIngestRequest, normalizer, service
├── integrations/      # optional external systems (Wazuh)
├── models/            # SQLAlchemy models — one file per resource
├── realtime/hub.py    # thread-safe WebSocket broadcast
├── schemas/           # Pydantic wire shapes
├── soar/engine.py     # containment playbooks — records, never executes
└── main.py            # FastAPI app + lifespan</w:t>
      </w:r>
    </w:p>
    <w:p>
      <w:pPr>
        <w:pStyle w:val="Heading2"/>
        <w:spacing w:after="120" w:before="240"/>
      </w:pPr>
      <w:r>
        <w:t xml:space="preserve">3.4 Data model</w:t>
      </w:r>
    </w:p>
    <w:p>
      <w:pPr>
        <w:spacing w:after="120"/>
      </w:pPr>
      <w:r>
        <w:t xml:space="preserve">Seven entities capture the state of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4E79" w:val="clear"/>
          </w:tcPr>
          <w:p>
            <w:pPr>
              <w:spacing w:after="120"/>
            </w:pPr>
            <w:r>
              <w:rPr>
                <w:b/>
                <w:bCs/>
                <w:color w:val="FFFFFF"/>
              </w:rPr>
              <w:t xml:space="preserve">Entity</w:t>
            </w:r>
          </w:p>
        </w:tc>
        <w:tc>
          <w:tcPr>
            <w:tcW w:type="dxa" w:w="7000"/>
            <w:shd w:fill="1F4E79" w:val="clear"/>
          </w:tcPr>
          <w:p>
            <w:pPr>
              <w:spacing w:after="120"/>
            </w:pPr>
            <w:r>
              <w:rPr>
                <w:b/>
                <w:bCs/>
                <w:color w:val="FFFFFF"/>
              </w:rPr>
              <w:t xml:space="preserve">Purpose</w:t>
            </w:r>
          </w:p>
        </w:tc>
      </w:tr>
      <w:tr>
        <w:tc>
          <w:tcPr>
            <w:tcW w:type="dxa" w:w="2500"/>
          </w:tcPr>
          <w:p>
            <w:pPr>
              <w:spacing w:after="120"/>
            </w:pPr>
            <w:r>
              <w:t xml:space="preserve">User</w:t>
            </w:r>
          </w:p>
        </w:tc>
        <w:tc>
          <w:tcPr>
            <w:tcW w:type="dxa" w:w="7000"/>
          </w:tcPr>
          <w:p>
            <w:pPr>
              <w:spacing w:after="120"/>
            </w:pPr>
            <w:r>
              <w:t xml:space="preserve">Console credentials + role (administrator or security_analyst).</w:t>
            </w:r>
          </w:p>
        </w:tc>
      </w:tr>
      <w:tr>
        <w:tc>
          <w:tcPr>
            <w:tcW w:type="dxa" w:w="2500"/>
          </w:tcPr>
          <w:p>
            <w:pPr>
              <w:spacing w:after="120"/>
            </w:pPr>
            <w:r>
              <w:t xml:space="preserve">Agent</w:t>
            </w:r>
          </w:p>
        </w:tc>
        <w:tc>
          <w:tcPr>
            <w:tcW w:type="dxa" w:w="7000"/>
          </w:tcPr>
          <w:p>
            <w:pPr>
              <w:spacing w:after="120"/>
            </w:pPr>
            <w:r>
              <w:t xml:space="preserve">A monitored endpoint. Optional on ingest — logs without an agent_id are accepted; with a bogus agent_id they are rejected.</w:t>
            </w:r>
          </w:p>
        </w:tc>
      </w:tr>
      <w:tr>
        <w:tc>
          <w:tcPr>
            <w:tcW w:type="dxa" w:w="2500"/>
          </w:tcPr>
          <w:p>
            <w:pPr>
              <w:spacing w:after="120"/>
            </w:pPr>
            <w:r>
              <w:t xml:space="preserve">Log</w:t>
            </w:r>
          </w:p>
        </w:tc>
        <w:tc>
          <w:tcPr>
            <w:tcW w:type="dxa" w:w="7000"/>
          </w:tcPr>
          <w:p>
            <w:pPr>
              <w:spacing w:after="120"/>
            </w:pPr>
            <w:r>
              <w:t xml:space="preserve">One normalized event. Indexed on (source_ip, event_type, timestamp) for the detection engine's hot query path.</w:t>
            </w:r>
          </w:p>
        </w:tc>
      </w:tr>
      <w:tr>
        <w:tc>
          <w:tcPr>
            <w:tcW w:type="dxa" w:w="2500"/>
          </w:tcPr>
          <w:p>
            <w:pPr>
              <w:spacing w:after="120"/>
            </w:pPr>
            <w:r>
              <w:t xml:space="preserve">DetectionRule</w:t>
            </w:r>
          </w:p>
        </w:tc>
        <w:tc>
          <w:tcPr>
            <w:tcW w:type="dxa" w:w="7000"/>
          </w:tcPr>
          <w:p>
            <w:pPr>
              <w:spacing w:after="120"/>
            </w:pPr>
            <w:r>
              <w:t xml:space="preserve">Executable rule: type, threshold, time window, severity, MITRE ID, Kill Chain phase, enabled flag, and rule-specific parameters (JSON).</w:t>
            </w:r>
          </w:p>
        </w:tc>
      </w:tr>
      <w:tr>
        <w:tc>
          <w:tcPr>
            <w:tcW w:type="dxa" w:w="2500"/>
          </w:tcPr>
          <w:p>
            <w:pPr>
              <w:spacing w:after="120"/>
            </w:pPr>
            <w:r>
              <w:t xml:space="preserve">Alert</w:t>
            </w:r>
          </w:p>
        </w:tc>
        <w:tc>
          <w:tcPr>
            <w:tcW w:type="dxa" w:w="7000"/>
          </w:tcPr>
          <w:p>
            <w:pPr>
              <w:spacing w:after="120"/>
            </w:pPr>
            <w:r>
              <w:t xml:space="preserve">A rule firing. Carries the rule's MITRE + Kill Chain metadata, a dedup_key, and a link to the triggering log.</w:t>
            </w:r>
          </w:p>
        </w:tc>
      </w:tr>
      <w:tr>
        <w:tc>
          <w:tcPr>
            <w:tcW w:type="dxa" w:w="2500"/>
          </w:tcPr>
          <w:p>
            <w:pPr>
              <w:spacing w:after="120"/>
            </w:pPr>
            <w:r>
              <w:t xml:space="preserve">AlertStatusHistory</w:t>
            </w:r>
          </w:p>
        </w:tc>
        <w:tc>
          <w:tcPr>
            <w:tcW w:type="dxa" w:w="7000"/>
          </w:tcPr>
          <w:p>
            <w:pPr>
              <w:spacing w:after="120"/>
            </w:pPr>
            <w:r>
              <w:t xml:space="preserve">Audit trail for every triage transition (who, when, from, to).</w:t>
            </w:r>
          </w:p>
        </w:tc>
      </w:tr>
      <w:tr>
        <w:tc>
          <w:tcPr>
            <w:tcW w:type="dxa" w:w="2500"/>
          </w:tcPr>
          <w:p>
            <w:pPr>
              <w:spacing w:after="120"/>
            </w:pPr>
            <w:r>
              <w:t xml:space="preserve">SoarAction</w:t>
            </w:r>
          </w:p>
        </w:tc>
        <w:tc>
          <w:tcPr>
            <w:tcW w:type="dxa" w:w="7000"/>
          </w:tcPr>
          <w:p>
            <w:pPr>
              <w:spacing w:after="120"/>
            </w:pPr>
            <w:r>
              <w:t xml:space="preserve">One recorded automated response — type, target, alert reference, execution mode.</w:t>
            </w:r>
          </w:p>
        </w:tc>
      </w:tr>
    </w:tbl>
    <w:p>
      <w:pPr>
        <w:pStyle w:val="Heading2"/>
        <w:spacing w:after="120" w:before="240"/>
      </w:pPr>
      <w:r>
        <w:t xml:space="preserve">3.5 The ingestion pipeline</w:t>
      </w:r>
    </w:p>
    <w:p>
      <w:pPr>
        <w:spacing w:after="120"/>
      </w:pPr>
      <w:r>
        <w:t xml:space="preserve">A POST to /api/logs traverses the following stages, in order:</w:t>
      </w:r>
    </w:p>
    <w:p>
      <w:pPr>
        <w:spacing w:after="120"/>
      </w:pPr>
      <w:r>
        <w:rPr>
          <w:b/>
          <w:bCs/>
        </w:rPr>
        <w:t xml:space="preserve">1. Authenticate. </w:t>
      </w:r>
      <w:r>
        <w:t xml:space="preserve">The get_current_user dependency verifies the Bearer token, decodes the JWT, and loads the user row. Unauthenticated calls return 401 before any business logic runs.</w:t>
      </w:r>
    </w:p>
    <w:p>
      <w:pPr>
        <w:spacing w:after="120"/>
      </w:pPr>
      <w:r>
        <w:rPr>
          <w:b/>
          <w:bCs/>
        </w:rPr>
        <w:t xml:space="preserve">2. Validate. </w:t>
      </w:r>
      <w:r>
        <w:t xml:space="preserve">Pydantic parses the request body against the LogIngestRequest schema. IPs are validated with the standard-library ipaddress module; ports are bounded 0-65535; severity is constrained to the enum; timestamps are parsed as ISO-8601. Invalid input returns 422 with a JSON explanation of exactly which field failed.</w:t>
      </w:r>
    </w:p>
    <w:p>
      <w:pPr>
        <w:spacing w:after="120"/>
      </w:pPr>
      <w:r>
        <w:rPr>
          <w:b/>
          <w:bCs/>
        </w:rPr>
        <w:t xml:space="preserve">3. Resolve agent. </w:t>
      </w:r>
      <w:r>
        <w:t xml:space="preserve">If agent_id is supplied it must correspond to a registered Agent row (otherwise 404); if omitted, the log is accepted unassociated. Silently accepting an unknown agent would hide a misconfigured shipper rather than surfacing it.</w:t>
      </w:r>
    </w:p>
    <w:p>
      <w:pPr>
        <w:spacing w:after="120"/>
      </w:pPr>
      <w:r>
        <w:rPr>
          <w:b/>
          <w:bCs/>
        </w:rPr>
        <w:t xml:space="preserve">4. Normalize. </w:t>
      </w:r>
      <w:r>
        <w:t xml:space="preserve">The event is converted to the canonical NormalizedEvent format. The normalizer's precedence rule: a client-supplied event_type is trusted as-is (no unnecessary re-derivation); otherwise a Windows Event ID (4625, 4624, 4672) is mapped; otherwise a raw_log line is parsed against Linux auth-log patterns; otherwise the event is honestly labeled event_type="unparsed" and stored anyway for forensic value.</w:t>
      </w:r>
    </w:p>
    <w:p>
      <w:pPr>
        <w:spacing w:after="120"/>
      </w:pPr>
      <w:r>
        <w:rPr>
          <w:b/>
          <w:bCs/>
        </w:rPr>
        <w:t xml:space="preserve">5. Persist. </w:t>
      </w:r>
      <w:r>
        <w:t xml:space="preserve">The normalized event becomes a Log row. If an agent was resolved, its last_seen and status fields are updated.</w:t>
      </w:r>
    </w:p>
    <w:p>
      <w:pPr>
        <w:spacing w:after="120"/>
      </w:pPr>
      <w:r>
        <w:rPr>
          <w:b/>
          <w:bCs/>
        </w:rPr>
        <w:t xml:space="preserve">6. Broadcast. </w:t>
      </w:r>
      <w:r>
        <w:t xml:space="preserve">The log is published on the WebSocket hub for live-feed subscribers. Broadcasting is fire-and-forget — a broken WebSocket must never break ingestion.</w:t>
      </w:r>
    </w:p>
    <w:p>
      <w:pPr>
        <w:spacing w:after="120"/>
      </w:pPr>
      <w:r>
        <w:rPr>
          <w:b/>
          <w:bCs/>
        </w:rPr>
        <w:t xml:space="preserve">7. Evaluate detection. </w:t>
      </w:r>
      <w:r>
        <w:t xml:space="preserve">The detection engine dispatches the log to every enabled rule with a registered handler (chapter 4).</w:t>
      </w:r>
    </w:p>
    <w:p>
      <w:pPr>
        <w:spacing w:after="120"/>
      </w:pPr>
      <w:r>
        <w:rPr>
          <w:b/>
          <w:bCs/>
        </w:rPr>
        <w:t xml:space="preserve">8. React (SOAR). </w:t>
      </w:r>
      <w:r>
        <w:t xml:space="preserve">For each alert raised, the SOAR engine decides and records a containment action (chapter 5).</w:t>
      </w:r>
    </w:p>
    <w:p>
      <w:pPr>
        <w:spacing w:after="120"/>
      </w:pPr>
      <w:r>
        <w:t xml:space="preserve">The response returns the log id, the parsed event_type, and the count and ids of any alerts generated — a shipper can therefore tell from the response alone whether it just delivered something that mattered, without polling /api/alerts.</w:t>
      </w:r>
    </w:p>
    <w:p>
      <w:pPr>
        <w:pStyle w:val="Heading2"/>
        <w:spacing w:after="120" w:before="240"/>
      </w:pPr>
      <w:r>
        <w:t xml:space="preserve">3.6 Real-time delivery</w:t>
      </w:r>
    </w:p>
    <w:p>
      <w:pPr>
        <w:spacing w:after="120"/>
      </w:pPr>
      <w:r>
        <w:t xml:space="preserve">The console maintains a single WebSocket connection to /ws/stream, authenticated by a query-string JWT. Every ingested log, every alert, and every SOAR action is broadcast to every connected subscriber within milliseconds. A polling fallback fires every 8 seconds against /api/alerts as a safety net — should the WebSocket miss a frame (proxy reset, laptop wake, tab throttling), the console still surfaces new alerts within the poll interval. Both channels dedupe by alert id, so an event delivered by both never produces a duplicate toast.</w:t>
      </w:r>
    </w:p>
    <w:p>
      <w:pPr>
        <w:pStyle w:val="Heading2"/>
        <w:spacing w:after="120" w:before="240"/>
      </w:pPr>
      <w:r>
        <w:t xml:space="preserve">3.7 Security posture</w:t>
      </w:r>
    </w:p>
    <w:p>
      <w:pPr>
        <w:spacing w:after="120"/>
      </w:pPr>
      <w:r>
        <w:t xml:space="preserve">The platform ships with a security-first baseline:</w:t>
      </w:r>
    </w:p>
    <w:p>
      <w:pPr>
        <w:pStyle w:val="ListParagraph"/>
        <w:numPr>
          <w:ilvl w:val="0"/>
          <w:numId w:val="2"/>
        </w:numPr>
        <w:spacing w:after="60"/>
      </w:pPr>
      <w:r>
        <w:t xml:space="preserve">Passwords hashed with bcrypt (cost 12), never stored in plaintext.</w:t>
      </w:r>
    </w:p>
    <w:p>
      <w:pPr>
        <w:pStyle w:val="ListParagraph"/>
        <w:numPr>
          <w:ilvl w:val="0"/>
          <w:numId w:val="2"/>
        </w:numPr>
        <w:spacing w:after="60"/>
      </w:pPr>
      <w:r>
        <w:t xml:space="preserve">JWT signing key sourced from .env (default is called out as insecure).</w:t>
      </w:r>
    </w:p>
    <w:p>
      <w:pPr>
        <w:pStyle w:val="ListParagraph"/>
        <w:numPr>
          <w:ilvl w:val="0"/>
          <w:numId w:val="2"/>
        </w:numPr>
        <w:spacing w:after="60"/>
      </w:pPr>
      <w:r>
        <w:t xml:space="preserve">RBAC enforced via a require_role dependency — administrator vs security_analyst matches the project use-case diagram.</w:t>
      </w:r>
    </w:p>
    <w:p>
      <w:pPr>
        <w:pStyle w:val="ListParagraph"/>
        <w:numPr>
          <w:ilvl w:val="0"/>
          <w:numId w:val="2"/>
        </w:numPr>
        <w:spacing w:after="60"/>
      </w:pPr>
      <w:r>
        <w:t xml:space="preserve">Every ingestion field is Pydantic-validated at the API boundary.</w:t>
      </w:r>
    </w:p>
    <w:p>
      <w:pPr>
        <w:pStyle w:val="ListParagraph"/>
        <w:numPr>
          <w:ilvl w:val="0"/>
          <w:numId w:val="2"/>
        </w:numPr>
        <w:spacing w:after="60"/>
      </w:pPr>
      <w:r>
        <w:t xml:space="preserve">SQLAlchemy parameterized queries — no string-concatenated SQL.</w:t>
      </w:r>
    </w:p>
    <w:p>
      <w:pPr>
        <w:pStyle w:val="ListParagraph"/>
        <w:numPr>
          <w:ilvl w:val="0"/>
          <w:numId w:val="2"/>
        </w:numPr>
        <w:spacing w:after="60"/>
      </w:pPr>
      <w:r>
        <w:t xml:space="preserve">Explicit CORS allow-list (no wildcard in production defaults).</w:t>
      </w:r>
    </w:p>
    <w:p>
      <w:pPr>
        <w:pStyle w:val="ListParagraph"/>
        <w:numPr>
          <w:ilvl w:val="0"/>
          <w:numId w:val="2"/>
        </w:numPr>
        <w:spacing w:after="60"/>
      </w:pPr>
      <w:r>
        <w:t xml:space="preserve">Login errors return the same 401 for wrong password and unknown user — no username enumeration.</w:t>
      </w:r>
    </w:p>
    <w:p>
      <w:pPr>
        <w:pStyle w:val="ListParagraph"/>
        <w:numPr>
          <w:ilvl w:val="0"/>
          <w:numId w:val="2"/>
        </w:numPr>
        <w:spacing w:after="60"/>
      </w:pPr>
      <w:r>
        <w:t xml:space="preserve">Deletion endpoints and SOAR configuration are administrator-only.</w:t>
      </w:r>
    </w:p>
    <w:p>
      <w:pPr>
        <w:pStyle w:val="Heading1"/>
        <w:pageBreakBefore/>
        <w:spacing w:after="200" w:before="300"/>
      </w:pPr>
      <w:r>
        <w:t xml:space="preserve">Chapter 4 — Detection Engine and Rules</w:t>
      </w:r>
    </w:p>
    <w:p>
      <w:pPr>
        <w:pStyle w:val="Heading2"/>
        <w:spacing w:after="120" w:before="240"/>
      </w:pPr>
      <w:r>
        <w:t xml:space="preserve">4.1 The engine dispatcher</w:t>
      </w:r>
    </w:p>
    <w:p>
      <w:pPr>
        <w:spacing w:after="120"/>
      </w:pPr>
      <w:r>
        <w:t xml:space="preserve">The detection engine is a thin dispatcher: it queries every enabled rule from the database, looks up the registered Python handler for that rule's rule_type, and invokes it with the current log and a database session. A rule row whose rule_type has no handler is skipped rather than treated as an error — an administrator can register a rule this build cannot yet execute, and the /health endpoint honestly reports the mismatch.</w:t>
      </w:r>
    </w:p>
    <w:p>
      <w:pPr>
        <w:spacing w:after="120"/>
      </w:pPr>
      <w:r>
        <w:t xml:space="preserve">Adding a new rule requires only two changes: a new Python module under app/detection/rules/ implementing evaluate(log, rule, db), and one entry in the engine's _RULE_HANDLERS registry. No schema change, no restart.</w:t>
      </w:r>
    </w:p>
    <w:p>
      <w:pPr>
        <w:pStyle w:val="Heading2"/>
        <w:spacing w:after="120" w:before="240"/>
      </w:pPr>
      <w:r>
        <w:t xml:space="preserve">4.2 Shared deduplication</w:t>
      </w:r>
    </w:p>
    <w:p>
      <w:pPr>
        <w:spacing w:after="120"/>
      </w:pPr>
      <w:r>
        <w:t xml:space="preserve">Every rule uses the same alerting.has_active_alert / create_alert helpers, which enforce a single deduplication contract:</w:t>
      </w:r>
    </w:p>
    <w:p>
      <w:pPr>
        <w:spacing w:after="120"/>
      </w:pPr>
      <w:r>
        <w:t xml:space="preserve">For the same rule + dedup_key, a new alert is suppressed if an existing alert is either (a) still open (status NEW or INVESTIGATING) or (b) recent (created within the rule's current detection window). A genuinely new attack from the same source after the previous alert has been triaged AND the window has elapsed creates a new alert normally — a source is not muted forever.</w:t>
      </w:r>
    </w:p>
    <w:p>
      <w:pPr>
        <w:spacing w:after="120"/>
      </w:pPr>
      <w:r>
        <w:t xml:space="preserve">The dedup_key defaults to the log's source_ip for network-borne rules (brute_force, port_scan) but is set to the path for file_integrity and to the actor username for privilege_escalation — events from those two rules often carry no source IP at all, and keying on "no IP" would collapse every event into one bucket.</w:t>
      </w:r>
    </w:p>
    <w:p>
      <w:pPr>
        <w:pStyle w:val="Heading2"/>
        <w:spacing w:after="120" w:before="240"/>
      </w:pPr>
      <w:r>
        <w:t xml:space="preserve">4.3 Rule 1 — Brute Force Authentication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Rule type</w:t>
            </w:r>
          </w:p>
        </w:tc>
        <w:tc>
          <w:tcPr>
            <w:tcW w:type="dxa" w:w="6500"/>
          </w:tcPr>
          <w:p>
            <w:pPr>
              <w:spacing w:after="120"/>
            </w:pPr>
            <w:r>
              <w:t xml:space="preserve">brute_force</w:t>
            </w:r>
          </w:p>
        </w:tc>
      </w:tr>
      <w:tr>
        <w:tc>
          <w:tcPr>
            <w:tcW w:type="dxa" w:w="3000"/>
            <w:shd w:fill="F5F5F5" w:val="clear"/>
          </w:tcPr>
          <w:p>
            <w:pPr>
              <w:spacing w:after="120"/>
            </w:pPr>
            <w:r>
              <w:rPr>
                <w:b/>
                <w:bCs/>
              </w:rPr>
              <w:t xml:space="preserve">MITRE ID</w:t>
            </w:r>
          </w:p>
        </w:tc>
        <w:tc>
          <w:tcPr>
            <w:tcW w:type="dxa" w:w="6500"/>
          </w:tcPr>
          <w:p>
            <w:pPr>
              <w:spacing w:after="120"/>
            </w:pPr>
            <w:r>
              <w:t xml:space="preserve">T1110</w:t>
            </w:r>
          </w:p>
        </w:tc>
      </w:tr>
      <w:tr>
        <w:tc>
          <w:tcPr>
            <w:tcW w:type="dxa" w:w="3000"/>
            <w:shd w:fill="F5F5F5" w:val="clear"/>
          </w:tcPr>
          <w:p>
            <w:pPr>
              <w:spacing w:after="120"/>
            </w:pPr>
            <w:r>
              <w:rPr>
                <w:b/>
                <w:bCs/>
              </w:rPr>
              <w:t xml:space="preserve">MITRE tactic</w:t>
            </w:r>
          </w:p>
        </w:tc>
        <w:tc>
          <w:tcPr>
            <w:tcW w:type="dxa" w:w="6500"/>
          </w:tcPr>
          <w:p>
            <w:pPr>
              <w:spacing w:after="120"/>
            </w:pPr>
            <w:r>
              <w:t xml:space="preserve">Credential Access (reference only, not stored)</w:t>
            </w:r>
          </w:p>
        </w:tc>
      </w:tr>
      <w:tr>
        <w:tc>
          <w:tcPr>
            <w:tcW w:type="dxa" w:w="3000"/>
            <w:shd w:fill="F5F5F5" w:val="clear"/>
          </w:tcPr>
          <w:p>
            <w:pPr>
              <w:spacing w:after="120"/>
            </w:pPr>
            <w:r>
              <w:rPr>
                <w:b/>
                <w:bCs/>
              </w:rPr>
              <w:t xml:space="preserve">Kill Chain phase</w:t>
            </w:r>
          </w:p>
        </w:tc>
        <w:tc>
          <w:tcPr>
            <w:tcW w:type="dxa" w:w="6500"/>
          </w:tcPr>
          <w:p>
            <w:pPr>
              <w:spacing w:after="120"/>
            </w:pPr>
            <w:r>
              <w:t xml:space="preserve">Actions on Objectives</w:t>
            </w:r>
          </w:p>
        </w:tc>
      </w:tr>
      <w:tr>
        <w:tc>
          <w:tcPr>
            <w:tcW w:type="dxa" w:w="3000"/>
            <w:shd w:fill="F5F5F5" w:val="clear"/>
          </w:tcPr>
          <w:p>
            <w:pPr>
              <w:spacing w:after="120"/>
            </w:pPr>
            <w:r>
              <w:rPr>
                <w:b/>
                <w:bCs/>
              </w:rPr>
              <w:t xml:space="preserve">Default threshold</w:t>
            </w:r>
          </w:p>
        </w:tc>
        <w:tc>
          <w:tcPr>
            <w:tcW w:type="dxa" w:w="6500"/>
          </w:tcPr>
          <w:p>
            <w:pPr>
              <w:spacing w:after="120"/>
            </w:pPr>
            <w:r>
              <w:t xml:space="preserve">5 failed logins from the same source IP</w:t>
            </w:r>
          </w:p>
        </w:tc>
      </w:tr>
      <w:tr>
        <w:tc>
          <w:tcPr>
            <w:tcW w:type="dxa" w:w="3000"/>
            <w:shd w:fill="F5F5F5" w:val="clear"/>
          </w:tcPr>
          <w:p>
            <w:pPr>
              <w:spacing w:after="120"/>
            </w:pPr>
            <w:r>
              <w:rPr>
                <w:b/>
                <w:bCs/>
              </w:rPr>
              <w:t xml:space="preserve">Default window</w:t>
            </w:r>
          </w:p>
        </w:tc>
        <w:tc>
          <w:tcPr>
            <w:tcW w:type="dxa" w:w="6500"/>
          </w:tcPr>
          <w:p>
            <w:pPr>
              <w:spacing w:after="120"/>
            </w:pPr>
            <w:r>
              <w:t xml:space="preserve">120 seconds</w:t>
            </w:r>
          </w:p>
        </w:tc>
      </w:tr>
      <w:tr>
        <w:tc>
          <w:tcPr>
            <w:tcW w:type="dxa" w:w="3000"/>
            <w:shd w:fill="F5F5F5" w:val="clear"/>
          </w:tcPr>
          <w:p>
            <w:pPr>
              <w:spacing w:after="120"/>
            </w:pPr>
            <w:r>
              <w:rPr>
                <w:b/>
                <w:bCs/>
              </w:rPr>
              <w:t xml:space="preserve">Default severity</w:t>
            </w:r>
          </w:p>
        </w:tc>
        <w:tc>
          <w:tcPr>
            <w:tcW w:type="dxa" w:w="6500"/>
          </w:tcPr>
          <w:p>
            <w:pPr>
              <w:spacing w:after="120"/>
            </w:pPr>
            <w:r>
              <w:t xml:space="preserve">HIGH</w:t>
            </w:r>
          </w:p>
        </w:tc>
      </w:tr>
      <w:tr>
        <w:tc>
          <w:tcPr>
            <w:tcW w:type="dxa" w:w="3000"/>
            <w:shd w:fill="F5F5F5" w:val="clear"/>
          </w:tcPr>
          <w:p>
            <w:pPr>
              <w:spacing w:after="120"/>
            </w:pPr>
            <w:r>
              <w:rPr>
                <w:b/>
                <w:bCs/>
              </w:rPr>
              <w:t xml:space="preserve">Dedup key</w:t>
            </w:r>
          </w:p>
        </w:tc>
        <w:tc>
          <w:tcPr>
            <w:tcW w:type="dxa" w:w="6500"/>
          </w:tcPr>
          <w:p>
            <w:pPr>
              <w:spacing w:after="120"/>
            </w:pPr>
            <w:r>
              <w:t xml:space="preserve">source_ip</w:t>
            </w:r>
          </w:p>
        </w:tc>
      </w:tr>
    </w:tbl>
    <w:p>
      <w:pPr>
        <w:spacing w:after="120"/>
      </w:pPr>
      <w:r>
        <w:t xml:space="preserve">Fires when the count of AUTH_FAILURE events from the same source_ip within the previous time_window_seconds meets or exceeds the threshold. The window is INCLUSIVE at both ends (timestamp ≥ window_start) — an event exactly at the boundary counts as within. This convention is shared by every other rule for consistency.</w:t>
      </w:r>
    </w:p>
    <w:p>
      <w:pPr>
        <w:spacing w:after="120"/>
      </w:pPr>
      <w:r>
        <w:t xml:space="preserve">Counting is done with a database query, not an in-memory counter, so detection is correct immediately after a backend restart. Repeated events from the same source once the alert has fired are absorbed by dedup until the analyst triages the alert and the window elapses.</w:t>
      </w:r>
    </w:p>
    <w:p>
      <w:pPr>
        <w:pStyle w:val="Heading2"/>
        <w:spacing w:after="120" w:before="240"/>
      </w:pPr>
      <w:r>
        <w:t xml:space="preserve">4.4 Rule 2 — Port Scanning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Rule type</w:t>
            </w:r>
          </w:p>
        </w:tc>
        <w:tc>
          <w:tcPr>
            <w:tcW w:type="dxa" w:w="6500"/>
          </w:tcPr>
          <w:p>
            <w:pPr>
              <w:spacing w:after="120"/>
            </w:pPr>
            <w:r>
              <w:t xml:space="preserve">port_scan</w:t>
            </w:r>
          </w:p>
        </w:tc>
      </w:tr>
      <w:tr>
        <w:tc>
          <w:tcPr>
            <w:tcW w:type="dxa" w:w="3000"/>
            <w:shd w:fill="F5F5F5" w:val="clear"/>
          </w:tcPr>
          <w:p>
            <w:pPr>
              <w:spacing w:after="120"/>
            </w:pPr>
            <w:r>
              <w:rPr>
                <w:b/>
                <w:bCs/>
              </w:rPr>
              <w:t xml:space="preserve">MITRE ID</w:t>
            </w:r>
          </w:p>
        </w:tc>
        <w:tc>
          <w:tcPr>
            <w:tcW w:type="dxa" w:w="6500"/>
          </w:tcPr>
          <w:p>
            <w:pPr>
              <w:spacing w:after="120"/>
            </w:pPr>
            <w:r>
              <w:t xml:space="preserve">T1046 (Network Service Scanning)</w:t>
            </w:r>
          </w:p>
        </w:tc>
      </w:tr>
      <w:tr>
        <w:tc>
          <w:tcPr>
            <w:tcW w:type="dxa" w:w="3000"/>
            <w:shd w:fill="F5F5F5" w:val="clear"/>
          </w:tcPr>
          <w:p>
            <w:pPr>
              <w:spacing w:after="120"/>
            </w:pPr>
            <w:r>
              <w:rPr>
                <w:b/>
                <w:bCs/>
              </w:rPr>
              <w:t xml:space="preserve">MITRE tactic</w:t>
            </w:r>
          </w:p>
        </w:tc>
        <w:tc>
          <w:tcPr>
            <w:tcW w:type="dxa" w:w="6500"/>
          </w:tcPr>
          <w:p>
            <w:pPr>
              <w:spacing w:after="120"/>
            </w:pPr>
            <w:r>
              <w:t xml:space="preserve">Discovery (reference only)</w:t>
            </w:r>
          </w:p>
        </w:tc>
      </w:tr>
      <w:tr>
        <w:tc>
          <w:tcPr>
            <w:tcW w:type="dxa" w:w="3000"/>
            <w:shd w:fill="F5F5F5" w:val="clear"/>
          </w:tcPr>
          <w:p>
            <w:pPr>
              <w:spacing w:after="120"/>
            </w:pPr>
            <w:r>
              <w:rPr>
                <w:b/>
                <w:bCs/>
              </w:rPr>
              <w:t xml:space="preserve">Kill Chain phase</w:t>
            </w:r>
          </w:p>
        </w:tc>
        <w:tc>
          <w:tcPr>
            <w:tcW w:type="dxa" w:w="6500"/>
          </w:tcPr>
          <w:p>
            <w:pPr>
              <w:spacing w:after="120"/>
            </w:pPr>
            <w:r>
              <w:t xml:space="preserve">Reconnaissance</w:t>
            </w:r>
          </w:p>
        </w:tc>
      </w:tr>
      <w:tr>
        <w:tc>
          <w:tcPr>
            <w:tcW w:type="dxa" w:w="3000"/>
            <w:shd w:fill="F5F5F5" w:val="clear"/>
          </w:tcPr>
          <w:p>
            <w:pPr>
              <w:spacing w:after="120"/>
            </w:pPr>
            <w:r>
              <w:rPr>
                <w:b/>
                <w:bCs/>
              </w:rPr>
              <w:t xml:space="preserve">Default threshold</w:t>
            </w:r>
          </w:p>
        </w:tc>
        <w:tc>
          <w:tcPr>
            <w:tcW w:type="dxa" w:w="6500"/>
          </w:tcPr>
          <w:p>
            <w:pPr>
              <w:spacing w:after="120"/>
            </w:pPr>
            <w:r>
              <w:t xml:space="preserve">10 DISTINCT destination ports</w:t>
            </w:r>
          </w:p>
        </w:tc>
      </w:tr>
      <w:tr>
        <w:tc>
          <w:tcPr>
            <w:tcW w:type="dxa" w:w="3000"/>
            <w:shd w:fill="F5F5F5" w:val="clear"/>
          </w:tcPr>
          <w:p>
            <w:pPr>
              <w:spacing w:after="120"/>
            </w:pPr>
            <w:r>
              <w:rPr>
                <w:b/>
                <w:bCs/>
              </w:rPr>
              <w:t xml:space="preserve">Default window</w:t>
            </w:r>
          </w:p>
        </w:tc>
        <w:tc>
          <w:tcPr>
            <w:tcW w:type="dxa" w:w="6500"/>
          </w:tcPr>
          <w:p>
            <w:pPr>
              <w:spacing w:after="120"/>
            </w:pPr>
            <w:r>
              <w:t xml:space="preserve">60 seconds</w:t>
            </w:r>
          </w:p>
        </w:tc>
      </w:tr>
      <w:tr>
        <w:tc>
          <w:tcPr>
            <w:tcW w:type="dxa" w:w="3000"/>
            <w:shd w:fill="F5F5F5" w:val="clear"/>
          </w:tcPr>
          <w:p>
            <w:pPr>
              <w:spacing w:after="120"/>
            </w:pPr>
            <w:r>
              <w:rPr>
                <w:b/>
                <w:bCs/>
              </w:rPr>
              <w:t xml:space="preserve">Default severity</w:t>
            </w:r>
          </w:p>
        </w:tc>
        <w:tc>
          <w:tcPr>
            <w:tcW w:type="dxa" w:w="6500"/>
          </w:tcPr>
          <w:p>
            <w:pPr>
              <w:spacing w:after="120"/>
            </w:pPr>
            <w:r>
              <w:t xml:space="preserve">HIGH</w:t>
            </w:r>
          </w:p>
        </w:tc>
      </w:tr>
      <w:tr>
        <w:tc>
          <w:tcPr>
            <w:tcW w:type="dxa" w:w="3000"/>
            <w:shd w:fill="F5F5F5" w:val="clear"/>
          </w:tcPr>
          <w:p>
            <w:pPr>
              <w:spacing w:after="120"/>
            </w:pPr>
            <w:r>
              <w:rPr>
                <w:b/>
                <w:bCs/>
              </w:rPr>
              <w:t xml:space="preserve">Dedup key</w:t>
            </w:r>
          </w:p>
        </w:tc>
        <w:tc>
          <w:tcPr>
            <w:tcW w:type="dxa" w:w="6500"/>
          </w:tcPr>
          <w:p>
            <w:pPr>
              <w:spacing w:after="120"/>
            </w:pPr>
            <w:r>
              <w:t xml:space="preserve">source_ip</w:t>
            </w:r>
          </w:p>
        </w:tc>
      </w:tr>
    </w:tbl>
    <w:p>
      <w:pPr>
        <w:spacing w:after="120"/>
      </w:pPr>
      <w:r>
        <w:t xml:space="preserve">Fires when the count of DISTINCT destination_port values in PORT_ACCESS events from the same source_ip within the window meets the threshold. Counting distinct ports (rather than event rows) is intentional — a hundred hits on port 80 is not a port scan, but ten hits across ten different ports probably is.</w:t>
      </w:r>
    </w:p>
    <w:p>
      <w:pPr>
        <w:spacing w:after="120"/>
      </w:pPr>
      <w:r>
        <w:t xml:space="preserve">Only events already normalized to event_type='port_access' contribute. Failed/accepted SSH login events also carry a destination port but are a different event_type; conflating them would produce false positives on any host with repeated SSH login attempts to a single port.</w:t>
      </w:r>
    </w:p>
    <w:p>
      <w:pPr>
        <w:pStyle w:val="Heading2"/>
        <w:spacing w:after="120" w:before="240"/>
      </w:pPr>
      <w:r>
        <w:t xml:space="preserve">4.5 Rule 3 — Login After Repeated Failures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Rule type</w:t>
            </w:r>
          </w:p>
        </w:tc>
        <w:tc>
          <w:tcPr>
            <w:tcW w:type="dxa" w:w="6500"/>
          </w:tcPr>
          <w:p>
            <w:pPr>
              <w:spacing w:after="120"/>
            </w:pPr>
            <w:r>
              <w:t xml:space="preserve">login_after_failure</w:t>
            </w:r>
          </w:p>
        </w:tc>
      </w:tr>
      <w:tr>
        <w:tc>
          <w:tcPr>
            <w:tcW w:type="dxa" w:w="3000"/>
            <w:shd w:fill="F5F5F5" w:val="clear"/>
          </w:tcPr>
          <w:p>
            <w:pPr>
              <w:spacing w:after="120"/>
            </w:pPr>
            <w:r>
              <w:rPr>
                <w:b/>
                <w:bCs/>
              </w:rPr>
              <w:t xml:space="preserve">MITRE ID</w:t>
            </w:r>
          </w:p>
        </w:tc>
        <w:tc>
          <w:tcPr>
            <w:tcW w:type="dxa" w:w="6500"/>
          </w:tcPr>
          <w:p>
            <w:pPr>
              <w:spacing w:after="120"/>
            </w:pPr>
            <w:r>
              <w:t xml:space="preserve">T1078 (Valid Accounts)</w:t>
            </w:r>
          </w:p>
        </w:tc>
      </w:tr>
      <w:tr>
        <w:tc>
          <w:tcPr>
            <w:tcW w:type="dxa" w:w="3000"/>
            <w:shd w:fill="F5F5F5" w:val="clear"/>
          </w:tcPr>
          <w:p>
            <w:pPr>
              <w:spacing w:after="120"/>
            </w:pPr>
            <w:r>
              <w:rPr>
                <w:b/>
                <w:bCs/>
              </w:rPr>
              <w:t xml:space="preserve">MITRE tactic</w:t>
            </w:r>
          </w:p>
        </w:tc>
        <w:tc>
          <w:tcPr>
            <w:tcW w:type="dxa" w:w="6500"/>
          </w:tcPr>
          <w:p>
            <w:pPr>
              <w:spacing w:after="120"/>
            </w:pPr>
            <w:r>
              <w:t xml:space="preserve">Initial Access (reference only)</w:t>
            </w:r>
          </w:p>
        </w:tc>
      </w:tr>
      <w:tr>
        <w:tc>
          <w:tcPr>
            <w:tcW w:type="dxa" w:w="3000"/>
            <w:shd w:fill="F5F5F5" w:val="clear"/>
          </w:tcPr>
          <w:p>
            <w:pPr>
              <w:spacing w:after="120"/>
            </w:pPr>
            <w:r>
              <w:rPr>
                <w:b/>
                <w:bCs/>
              </w:rPr>
              <w:t xml:space="preserve">Kill Chain phase</w:t>
            </w:r>
          </w:p>
        </w:tc>
        <w:tc>
          <w:tcPr>
            <w:tcW w:type="dxa" w:w="6500"/>
          </w:tcPr>
          <w:p>
            <w:pPr>
              <w:spacing w:after="120"/>
            </w:pPr>
            <w:r>
              <w:t xml:space="preserve">Exploitation</w:t>
            </w:r>
          </w:p>
        </w:tc>
      </w:tr>
      <w:tr>
        <w:tc>
          <w:tcPr>
            <w:tcW w:type="dxa" w:w="3000"/>
            <w:shd w:fill="F5F5F5" w:val="clear"/>
          </w:tcPr>
          <w:p>
            <w:pPr>
              <w:spacing w:after="120"/>
            </w:pPr>
            <w:r>
              <w:rPr>
                <w:b/>
                <w:bCs/>
              </w:rPr>
              <w:t xml:space="preserve">Default threshold</w:t>
            </w:r>
          </w:p>
        </w:tc>
        <w:tc>
          <w:tcPr>
            <w:tcW w:type="dxa" w:w="6500"/>
          </w:tcPr>
          <w:p>
            <w:pPr>
              <w:spacing w:after="120"/>
            </w:pPr>
            <w:r>
              <w:t xml:space="preserve">5 failures preceding a success</w:t>
            </w:r>
          </w:p>
        </w:tc>
      </w:tr>
      <w:tr>
        <w:tc>
          <w:tcPr>
            <w:tcW w:type="dxa" w:w="3000"/>
            <w:shd w:fill="F5F5F5" w:val="clear"/>
          </w:tcPr>
          <w:p>
            <w:pPr>
              <w:spacing w:after="120"/>
            </w:pPr>
            <w:r>
              <w:rPr>
                <w:b/>
                <w:bCs/>
              </w:rPr>
              <w:t xml:space="preserve">Default window</w:t>
            </w:r>
          </w:p>
        </w:tc>
        <w:tc>
          <w:tcPr>
            <w:tcW w:type="dxa" w:w="6500"/>
          </w:tcPr>
          <w:p>
            <w:pPr>
              <w:spacing w:after="120"/>
            </w:pPr>
            <w:r>
              <w:t xml:space="preserve">300 seconds</w:t>
            </w:r>
          </w:p>
        </w:tc>
      </w:tr>
      <w:tr>
        <w:tc>
          <w:tcPr>
            <w:tcW w:type="dxa" w:w="3000"/>
            <w:shd w:fill="F5F5F5" w:val="clear"/>
          </w:tcPr>
          <w:p>
            <w:pPr>
              <w:spacing w:after="120"/>
            </w:pPr>
            <w:r>
              <w:rPr>
                <w:b/>
                <w:bCs/>
              </w:rPr>
              <w:t xml:space="preserve">Default severity</w:t>
            </w:r>
          </w:p>
        </w:tc>
        <w:tc>
          <w:tcPr>
            <w:tcW w:type="dxa" w:w="6500"/>
          </w:tcPr>
          <w:p>
            <w:pPr>
              <w:spacing w:after="120"/>
            </w:pPr>
            <w:r>
              <w:t xml:space="preserve">CRITICAL</w:t>
            </w:r>
          </w:p>
        </w:tc>
      </w:tr>
      <w:tr>
        <w:tc>
          <w:tcPr>
            <w:tcW w:type="dxa" w:w="3000"/>
            <w:shd w:fill="F5F5F5" w:val="clear"/>
          </w:tcPr>
          <w:p>
            <w:pPr>
              <w:spacing w:after="120"/>
            </w:pPr>
            <w:r>
              <w:rPr>
                <w:b/>
                <w:bCs/>
              </w:rPr>
              <w:t xml:space="preserve">Dedup key</w:t>
            </w:r>
          </w:p>
        </w:tc>
        <w:tc>
          <w:tcPr>
            <w:tcW w:type="dxa" w:w="6500"/>
          </w:tcPr>
          <w:p>
            <w:pPr>
              <w:spacing w:after="120"/>
            </w:pPr>
            <w:r>
              <w:t xml:space="preserve">source_ip</w:t>
            </w:r>
          </w:p>
        </w:tc>
      </w:tr>
    </w:tbl>
    <w:p>
      <w:pPr>
        <w:spacing w:after="120"/>
      </w:pPr>
      <w:r>
        <w:t xml:space="preserve">Fires on a SUCCESSFUL authentication when the count of preceding failed authentications from the same source_ip within the window meets the threshold. This is the rule that distinguishes a failed brute-force attempt from a successful account compromise, which is why it is seeded CRITICAL while brute_force is HIGH: brute_force says someone is knocking; this rule says someone got in.</w:t>
      </w:r>
    </w:p>
    <w:p>
      <w:pPr>
        <w:spacing w:after="120"/>
      </w:pPr>
      <w:r>
        <w:t xml:space="preserve">The two rules deliberately overlap — a credential-stuffing attack that eventually succeeds raises TWO alerts, one HIGH the moment the guessing crosses threshold, one CRITICAL the moment it works. They are not deduplicated against each other because they carry different meaning for the analyst.</w:t>
      </w:r>
    </w:p>
    <w:p>
      <w:pPr>
        <w:pStyle w:val="Heading2"/>
        <w:spacing w:after="120" w:before="240"/>
      </w:pPr>
      <w:r>
        <w:t xml:space="preserve">4.6 Rule 4 — Critical File Integrity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Rule type</w:t>
            </w:r>
          </w:p>
        </w:tc>
        <w:tc>
          <w:tcPr>
            <w:tcW w:type="dxa" w:w="6500"/>
          </w:tcPr>
          <w:p>
            <w:pPr>
              <w:spacing w:after="120"/>
            </w:pPr>
            <w:r>
              <w:t xml:space="preserve">file_integrity</w:t>
            </w:r>
          </w:p>
        </w:tc>
      </w:tr>
      <w:tr>
        <w:tc>
          <w:tcPr>
            <w:tcW w:type="dxa" w:w="3000"/>
            <w:shd w:fill="F5F5F5" w:val="clear"/>
          </w:tcPr>
          <w:p>
            <w:pPr>
              <w:spacing w:after="120"/>
            </w:pPr>
            <w:r>
              <w:rPr>
                <w:b/>
                <w:bCs/>
              </w:rPr>
              <w:t xml:space="preserve">MITRE ID</w:t>
            </w:r>
          </w:p>
        </w:tc>
        <w:tc>
          <w:tcPr>
            <w:tcW w:type="dxa" w:w="6500"/>
          </w:tcPr>
          <w:p>
            <w:pPr>
              <w:spacing w:after="120"/>
            </w:pPr>
            <w:r>
              <w:t xml:space="preserve">T1098 (Account Manipulation)</w:t>
            </w:r>
          </w:p>
        </w:tc>
      </w:tr>
      <w:tr>
        <w:tc>
          <w:tcPr>
            <w:tcW w:type="dxa" w:w="3000"/>
            <w:shd w:fill="F5F5F5" w:val="clear"/>
          </w:tcPr>
          <w:p>
            <w:pPr>
              <w:spacing w:after="120"/>
            </w:pPr>
            <w:r>
              <w:rPr>
                <w:b/>
                <w:bCs/>
              </w:rPr>
              <w:t xml:space="preserve">MITRE tactic</w:t>
            </w:r>
          </w:p>
        </w:tc>
        <w:tc>
          <w:tcPr>
            <w:tcW w:type="dxa" w:w="6500"/>
          </w:tcPr>
          <w:p>
            <w:pPr>
              <w:spacing w:after="120"/>
            </w:pPr>
            <w:r>
              <w:t xml:space="preserve">Persistence (reference only)</w:t>
            </w:r>
          </w:p>
        </w:tc>
      </w:tr>
      <w:tr>
        <w:tc>
          <w:tcPr>
            <w:tcW w:type="dxa" w:w="3000"/>
            <w:shd w:fill="F5F5F5" w:val="clear"/>
          </w:tcPr>
          <w:p>
            <w:pPr>
              <w:spacing w:after="120"/>
            </w:pPr>
            <w:r>
              <w:rPr>
                <w:b/>
                <w:bCs/>
              </w:rPr>
              <w:t xml:space="preserve">Kill Chain phase</w:t>
            </w:r>
          </w:p>
        </w:tc>
        <w:tc>
          <w:tcPr>
            <w:tcW w:type="dxa" w:w="6500"/>
          </w:tcPr>
          <w:p>
            <w:pPr>
              <w:spacing w:after="120"/>
            </w:pPr>
            <w:r>
              <w:t xml:space="preserve">Installation</w:t>
            </w:r>
          </w:p>
        </w:tc>
      </w:tr>
      <w:tr>
        <w:tc>
          <w:tcPr>
            <w:tcW w:type="dxa" w:w="3000"/>
            <w:shd w:fill="F5F5F5" w:val="clear"/>
          </w:tcPr>
          <w:p>
            <w:pPr>
              <w:spacing w:after="120"/>
            </w:pPr>
            <w:r>
              <w:rPr>
                <w:b/>
                <w:bCs/>
              </w:rPr>
              <w:t xml:space="preserve">Default threshold</w:t>
            </w:r>
          </w:p>
        </w:tc>
        <w:tc>
          <w:tcPr>
            <w:tcW w:type="dxa" w:w="6500"/>
          </w:tcPr>
          <w:p>
            <w:pPr>
              <w:spacing w:after="120"/>
            </w:pPr>
            <w:r>
              <w:t xml:space="preserve">1</w:t>
            </w:r>
          </w:p>
        </w:tc>
      </w:tr>
      <w:tr>
        <w:tc>
          <w:tcPr>
            <w:tcW w:type="dxa" w:w="3000"/>
            <w:shd w:fill="F5F5F5" w:val="clear"/>
          </w:tcPr>
          <w:p>
            <w:pPr>
              <w:spacing w:after="120"/>
            </w:pPr>
            <w:r>
              <w:rPr>
                <w:b/>
                <w:bCs/>
              </w:rPr>
              <w:t xml:space="preserve">Default window</w:t>
            </w:r>
          </w:p>
        </w:tc>
        <w:tc>
          <w:tcPr>
            <w:tcW w:type="dxa" w:w="6500"/>
          </w:tcPr>
          <w:p>
            <w:pPr>
              <w:spacing w:after="120"/>
            </w:pPr>
            <w:r>
              <w:t xml:space="preserve">60 seconds</w:t>
            </w:r>
          </w:p>
        </w:tc>
      </w:tr>
      <w:tr>
        <w:tc>
          <w:tcPr>
            <w:tcW w:type="dxa" w:w="3000"/>
            <w:shd w:fill="F5F5F5" w:val="clear"/>
          </w:tcPr>
          <w:p>
            <w:pPr>
              <w:spacing w:after="120"/>
            </w:pPr>
            <w:r>
              <w:rPr>
                <w:b/>
                <w:bCs/>
              </w:rPr>
              <w:t xml:space="preserve">Default severity</w:t>
            </w:r>
          </w:p>
        </w:tc>
        <w:tc>
          <w:tcPr>
            <w:tcW w:type="dxa" w:w="6500"/>
          </w:tcPr>
          <w:p>
            <w:pPr>
              <w:spacing w:after="120"/>
            </w:pPr>
            <w:r>
              <w:t xml:space="preserve">CRITICAL</w:t>
            </w:r>
          </w:p>
        </w:tc>
      </w:tr>
      <w:tr>
        <w:tc>
          <w:tcPr>
            <w:tcW w:type="dxa" w:w="3000"/>
            <w:shd w:fill="F5F5F5" w:val="clear"/>
          </w:tcPr>
          <w:p>
            <w:pPr>
              <w:spacing w:after="120"/>
            </w:pPr>
            <w:r>
              <w:rPr>
                <w:b/>
                <w:bCs/>
              </w:rPr>
              <w:t xml:space="preserve">Dedup key</w:t>
            </w:r>
          </w:p>
        </w:tc>
        <w:tc>
          <w:tcPr>
            <w:tcW w:type="dxa" w:w="6500"/>
          </w:tcPr>
          <w:p>
            <w:pPr>
              <w:spacing w:after="120"/>
            </w:pPr>
            <w:r>
              <w:t xml:space="preserve">path</w:t>
            </w:r>
          </w:p>
        </w:tc>
      </w:tr>
    </w:tbl>
    <w:p>
      <w:pPr>
        <w:spacing w:after="120"/>
      </w:pPr>
      <w:r>
        <w:t xml:space="preserve">Fires on any FILE_INTEGRITY_CHANGE event whose path matches a watched critical-file entry. Default watched entries include /etc/passwd, /etc/shadow, /etc/sudoers, /etc/ssh/sshd_config, and the Windows-side SAM hive and hosts file. The list is stored in rule.parameters and editable per-deployment without a code change.</w:t>
      </w:r>
    </w:p>
    <w:p>
      <w:pPr>
        <w:spacing w:after="120"/>
      </w:pPr>
      <w:r>
        <w:t xml:space="preserve">Dedup is keyed on the changed path, not the source IP, because file integrity events frequently carry no source IP. Keying on source IP would let a single alert on /etc/passwd silently suppress the alert on /etc/shadow.</w:t>
      </w:r>
    </w:p>
    <w:p>
      <w:pPr>
        <w:pStyle w:val="Heading2"/>
        <w:spacing w:after="120" w:before="240"/>
      </w:pPr>
      <w:r>
        <w:t xml:space="preserve">4.7 Rule 5 — Privilege Escalation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Rule type</w:t>
            </w:r>
          </w:p>
        </w:tc>
        <w:tc>
          <w:tcPr>
            <w:tcW w:type="dxa" w:w="6500"/>
          </w:tcPr>
          <w:p>
            <w:pPr>
              <w:spacing w:after="120"/>
            </w:pPr>
            <w:r>
              <w:t xml:space="preserve">privilege_escalation</w:t>
            </w:r>
          </w:p>
        </w:tc>
      </w:tr>
      <w:tr>
        <w:tc>
          <w:tcPr>
            <w:tcW w:type="dxa" w:w="3000"/>
            <w:shd w:fill="F5F5F5" w:val="clear"/>
          </w:tcPr>
          <w:p>
            <w:pPr>
              <w:spacing w:after="120"/>
            </w:pPr>
            <w:r>
              <w:rPr>
                <w:b/>
                <w:bCs/>
              </w:rPr>
              <w:t xml:space="preserve">MITRE ID</w:t>
            </w:r>
          </w:p>
        </w:tc>
        <w:tc>
          <w:tcPr>
            <w:tcW w:type="dxa" w:w="6500"/>
          </w:tcPr>
          <w:p>
            <w:pPr>
              <w:spacing w:after="120"/>
            </w:pPr>
            <w:r>
              <w:t xml:space="preserve">T1548 (Abuse Elevation Control Mechanism)</w:t>
            </w:r>
          </w:p>
        </w:tc>
      </w:tr>
      <w:tr>
        <w:tc>
          <w:tcPr>
            <w:tcW w:type="dxa" w:w="3000"/>
            <w:shd w:fill="F5F5F5" w:val="clear"/>
          </w:tcPr>
          <w:p>
            <w:pPr>
              <w:spacing w:after="120"/>
            </w:pPr>
            <w:r>
              <w:rPr>
                <w:b/>
                <w:bCs/>
              </w:rPr>
              <w:t xml:space="preserve">MITRE tactic</w:t>
            </w:r>
          </w:p>
        </w:tc>
        <w:tc>
          <w:tcPr>
            <w:tcW w:type="dxa" w:w="6500"/>
          </w:tcPr>
          <w:p>
            <w:pPr>
              <w:spacing w:after="120"/>
            </w:pPr>
            <w:r>
              <w:t xml:space="preserve">Privilege Escalation (reference only)</w:t>
            </w:r>
          </w:p>
        </w:tc>
      </w:tr>
      <w:tr>
        <w:tc>
          <w:tcPr>
            <w:tcW w:type="dxa" w:w="3000"/>
            <w:shd w:fill="F5F5F5" w:val="clear"/>
          </w:tcPr>
          <w:p>
            <w:pPr>
              <w:spacing w:after="120"/>
            </w:pPr>
            <w:r>
              <w:rPr>
                <w:b/>
                <w:bCs/>
              </w:rPr>
              <w:t xml:space="preserve">Kill Chain phase</w:t>
            </w:r>
          </w:p>
        </w:tc>
        <w:tc>
          <w:tcPr>
            <w:tcW w:type="dxa" w:w="6500"/>
          </w:tcPr>
          <w:p>
            <w:pPr>
              <w:spacing w:after="120"/>
            </w:pPr>
            <w:r>
              <w:t xml:space="preserve">Actions on Objectives</w:t>
            </w:r>
          </w:p>
        </w:tc>
      </w:tr>
      <w:tr>
        <w:tc>
          <w:tcPr>
            <w:tcW w:type="dxa" w:w="3000"/>
            <w:shd w:fill="F5F5F5" w:val="clear"/>
          </w:tcPr>
          <w:p>
            <w:pPr>
              <w:spacing w:after="120"/>
            </w:pPr>
            <w:r>
              <w:rPr>
                <w:b/>
                <w:bCs/>
              </w:rPr>
              <w:t xml:space="preserve">Default threshold</w:t>
            </w:r>
          </w:p>
        </w:tc>
        <w:tc>
          <w:tcPr>
            <w:tcW w:type="dxa" w:w="6500"/>
          </w:tcPr>
          <w:p>
            <w:pPr>
              <w:spacing w:after="120"/>
            </w:pPr>
            <w:r>
              <w:t xml:space="preserve">1</w:t>
            </w:r>
          </w:p>
        </w:tc>
      </w:tr>
      <w:tr>
        <w:tc>
          <w:tcPr>
            <w:tcW w:type="dxa" w:w="3000"/>
            <w:shd w:fill="F5F5F5" w:val="clear"/>
          </w:tcPr>
          <w:p>
            <w:pPr>
              <w:spacing w:after="120"/>
            </w:pPr>
            <w:r>
              <w:rPr>
                <w:b/>
                <w:bCs/>
              </w:rPr>
              <w:t xml:space="preserve">Default window</w:t>
            </w:r>
          </w:p>
        </w:tc>
        <w:tc>
          <w:tcPr>
            <w:tcW w:type="dxa" w:w="6500"/>
          </w:tcPr>
          <w:p>
            <w:pPr>
              <w:spacing w:after="120"/>
            </w:pPr>
            <w:r>
              <w:t xml:space="preserve">60 seconds</w:t>
            </w:r>
          </w:p>
        </w:tc>
      </w:tr>
      <w:tr>
        <w:tc>
          <w:tcPr>
            <w:tcW w:type="dxa" w:w="3000"/>
            <w:shd w:fill="F5F5F5" w:val="clear"/>
          </w:tcPr>
          <w:p>
            <w:pPr>
              <w:spacing w:after="120"/>
            </w:pPr>
            <w:r>
              <w:rPr>
                <w:b/>
                <w:bCs/>
              </w:rPr>
              <w:t xml:space="preserve">Default severity</w:t>
            </w:r>
          </w:p>
        </w:tc>
        <w:tc>
          <w:tcPr>
            <w:tcW w:type="dxa" w:w="6500"/>
          </w:tcPr>
          <w:p>
            <w:pPr>
              <w:spacing w:after="120"/>
            </w:pPr>
            <w:r>
              <w:t xml:space="preserve">CRITICAL</w:t>
            </w:r>
          </w:p>
        </w:tc>
      </w:tr>
      <w:tr>
        <w:tc>
          <w:tcPr>
            <w:tcW w:type="dxa" w:w="3000"/>
            <w:shd w:fill="F5F5F5" w:val="clear"/>
          </w:tcPr>
          <w:p>
            <w:pPr>
              <w:spacing w:after="120"/>
            </w:pPr>
            <w:r>
              <w:rPr>
                <w:b/>
                <w:bCs/>
              </w:rPr>
              <w:t xml:space="preserve">Dedup key</w:t>
            </w:r>
          </w:p>
        </w:tc>
        <w:tc>
          <w:tcPr>
            <w:tcW w:type="dxa" w:w="6500"/>
          </w:tcPr>
          <w:p>
            <w:pPr>
              <w:spacing w:after="120"/>
            </w:pPr>
            <w:r>
              <w:t xml:space="preserve">username (fallback: source_ip)</w:t>
            </w:r>
          </w:p>
        </w:tc>
      </w:tr>
    </w:tbl>
    <w:p>
      <w:pPr>
        <w:spacing w:after="120"/>
      </w:pPr>
      <w:r>
        <w:t xml:space="preserve">The critical design choice: this rule fires not on every sudo invocation (which would produce an unusable alert queue on any active host) but on the privilege-related events characteristic of escalation rather than routine administration.</w:t>
      </w:r>
    </w:p>
    <w:p>
      <w:pPr>
        <w:spacing w:after="120"/>
      </w:pPr>
      <w:r>
        <w:t xml:space="preserve">A command is considered suspicious if it (a) spawns an interactive root shell (/bin/bash, /bin/sh, zsh, su), (b) edits authentication or authorization state (passwd, useradd, usermod, visudo, chmod on /etc/shadow), or (c) corresponds to a Windows Security Event ID 4672 (special privileges assigned to a new logon). The suspicious-pattern list is stored in rule.parameters and editable from the Rules page.</w:t>
      </w:r>
    </w:p>
    <w:p>
      <w:pPr>
        <w:spacing w:after="120"/>
      </w:pPr>
      <w:r>
        <w:t xml:space="preserve">Dedup is keyed on the actor (username, or source IP when no username was parsed) rather than on source IP alone: sudo events carry a username but usually no source address, so keying on source IP would funnel every user on every host into one "no IP" bucket.</w:t>
      </w:r>
    </w:p>
    <w:p>
      <w:pPr>
        <w:pStyle w:val="Heading2"/>
        <w:spacing w:after="120" w:before="240"/>
      </w:pPr>
      <w:r>
        <w:t xml:space="preserve">4.8 Summary of all five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2500"/>
        <w:gridCol w:w="1500"/>
      </w:tblGrid>
      <w:tr>
        <w:trPr>
          <w:tblHeader/>
        </w:trPr>
        <w:tc>
          <w:tcPr>
            <w:tcW w:type="dxa" w:w="700"/>
            <w:shd w:fill="1F4E79" w:val="clear"/>
          </w:tcPr>
          <w:p>
            <w:pPr>
              <w:spacing w:after="120"/>
            </w:pPr>
            <w:r>
              <w:rPr>
                <w:b/>
                <w:bCs/>
                <w:color w:val="FFFFFF"/>
              </w:rPr>
              <w:t xml:space="preserve">#</w:t>
            </w:r>
          </w:p>
        </w:tc>
        <w:tc>
          <w:tcPr>
            <w:tcW w:type="dxa" w:w="3500"/>
            <w:shd w:fill="1F4E79" w:val="clear"/>
          </w:tcPr>
          <w:p>
            <w:pPr>
              <w:spacing w:after="120"/>
            </w:pPr>
            <w:r>
              <w:rPr>
                <w:b/>
                <w:bCs/>
                <w:color w:val="FFFFFF"/>
              </w:rPr>
              <w:t xml:space="preserve">Rule</w:t>
            </w:r>
          </w:p>
        </w:tc>
        <w:tc>
          <w:tcPr>
            <w:tcW w:type="dxa" w:w="1300"/>
            <w:shd w:fill="1F4E79" w:val="clear"/>
          </w:tcPr>
          <w:p>
            <w:pPr>
              <w:spacing w:after="120"/>
            </w:pPr>
            <w:r>
              <w:rPr>
                <w:b/>
                <w:bCs/>
                <w:color w:val="FFFFFF"/>
              </w:rPr>
              <w:t xml:space="preserve">MITRE</w:t>
            </w:r>
          </w:p>
        </w:tc>
        <w:tc>
          <w:tcPr>
            <w:tcW w:type="dxa" w:w="2500"/>
            <w:shd w:fill="1F4E79" w:val="clear"/>
          </w:tcPr>
          <w:p>
            <w:pPr>
              <w:spacing w:after="120"/>
            </w:pPr>
            <w:r>
              <w:rPr>
                <w:b/>
                <w:bCs/>
                <w:color w:val="FFFFFF"/>
              </w:rPr>
              <w:t xml:space="preserve">Kill Chain</w:t>
            </w:r>
          </w:p>
        </w:tc>
        <w:tc>
          <w:tcPr>
            <w:tcW w:type="dxa" w:w="1500"/>
            <w:shd w:fill="1F4E79" w:val="clear"/>
          </w:tcPr>
          <w:p>
            <w:pPr>
              <w:spacing w:after="120"/>
            </w:pPr>
            <w:r>
              <w:rPr>
                <w:b/>
                <w:bCs/>
                <w:color w:val="FFFFFF"/>
              </w:rPr>
              <w:t xml:space="preserve">Severity</w:t>
            </w:r>
          </w:p>
        </w:tc>
      </w:tr>
      <w:tr>
        <w:tc>
          <w:tcPr>
            <w:tcW w:type="dxa" w:w="700"/>
          </w:tcPr>
          <w:p>
            <w:pPr>
              <w:spacing w:after="120"/>
            </w:pPr>
            <w:r>
              <w:t xml:space="preserve">1</w:t>
            </w:r>
          </w:p>
        </w:tc>
        <w:tc>
          <w:tcPr>
            <w:tcW w:type="dxa" w:w="3500"/>
          </w:tcPr>
          <w:p>
            <w:pPr>
              <w:spacing w:after="120"/>
            </w:pPr>
            <w:r>
              <w:t xml:space="preserve">Brute Force Authentication</w:t>
            </w:r>
          </w:p>
        </w:tc>
        <w:tc>
          <w:tcPr>
            <w:tcW w:type="dxa" w:w="1300"/>
          </w:tcPr>
          <w:p>
            <w:pPr>
              <w:spacing w:after="120"/>
            </w:pPr>
            <w:r>
              <w:t xml:space="preserve">T1110</w:t>
            </w:r>
          </w:p>
        </w:tc>
        <w:tc>
          <w:tcPr>
            <w:tcW w:type="dxa" w:w="2500"/>
          </w:tcPr>
          <w:p>
            <w:pPr>
              <w:spacing w:after="120"/>
            </w:pPr>
            <w:r>
              <w:t xml:space="preserve">Actions on Objectives</w:t>
            </w:r>
          </w:p>
        </w:tc>
        <w:tc>
          <w:tcPr>
            <w:tcW w:type="dxa" w:w="1500"/>
          </w:tcPr>
          <w:p>
            <w:pPr>
              <w:spacing w:after="120"/>
            </w:pPr>
            <w:r>
              <w:t xml:space="preserve">HIGH</w:t>
            </w:r>
          </w:p>
        </w:tc>
      </w:tr>
      <w:tr>
        <w:tc>
          <w:tcPr>
            <w:tcW w:type="dxa" w:w="700"/>
          </w:tcPr>
          <w:p>
            <w:pPr>
              <w:spacing w:after="120"/>
            </w:pPr>
            <w:r>
              <w:t xml:space="preserve">2</w:t>
            </w:r>
          </w:p>
        </w:tc>
        <w:tc>
          <w:tcPr>
            <w:tcW w:type="dxa" w:w="3500"/>
          </w:tcPr>
          <w:p>
            <w:pPr>
              <w:spacing w:after="120"/>
            </w:pPr>
            <w:r>
              <w:t xml:space="preserve">Port Scanning</w:t>
            </w:r>
          </w:p>
        </w:tc>
        <w:tc>
          <w:tcPr>
            <w:tcW w:type="dxa" w:w="1300"/>
          </w:tcPr>
          <w:p>
            <w:pPr>
              <w:spacing w:after="120"/>
            </w:pPr>
            <w:r>
              <w:t xml:space="preserve">T1046</w:t>
            </w:r>
          </w:p>
        </w:tc>
        <w:tc>
          <w:tcPr>
            <w:tcW w:type="dxa" w:w="2500"/>
          </w:tcPr>
          <w:p>
            <w:pPr>
              <w:spacing w:after="120"/>
            </w:pPr>
            <w:r>
              <w:t xml:space="preserve">Reconnaissance</w:t>
            </w:r>
          </w:p>
        </w:tc>
        <w:tc>
          <w:tcPr>
            <w:tcW w:type="dxa" w:w="1500"/>
          </w:tcPr>
          <w:p>
            <w:pPr>
              <w:spacing w:after="120"/>
            </w:pPr>
            <w:r>
              <w:t xml:space="preserve">HIGH</w:t>
            </w:r>
          </w:p>
        </w:tc>
      </w:tr>
      <w:tr>
        <w:tc>
          <w:tcPr>
            <w:tcW w:type="dxa" w:w="700"/>
          </w:tcPr>
          <w:p>
            <w:pPr>
              <w:spacing w:after="120"/>
            </w:pPr>
            <w:r>
              <w:t xml:space="preserve">3</w:t>
            </w:r>
          </w:p>
        </w:tc>
        <w:tc>
          <w:tcPr>
            <w:tcW w:type="dxa" w:w="3500"/>
          </w:tcPr>
          <w:p>
            <w:pPr>
              <w:spacing w:after="120"/>
            </w:pPr>
            <w:r>
              <w:t xml:space="preserve">Login After Repeated Failures</w:t>
            </w:r>
          </w:p>
        </w:tc>
        <w:tc>
          <w:tcPr>
            <w:tcW w:type="dxa" w:w="1300"/>
          </w:tcPr>
          <w:p>
            <w:pPr>
              <w:spacing w:after="120"/>
            </w:pPr>
            <w:r>
              <w:t xml:space="preserve">T1078</w:t>
            </w:r>
          </w:p>
        </w:tc>
        <w:tc>
          <w:tcPr>
            <w:tcW w:type="dxa" w:w="2500"/>
          </w:tcPr>
          <w:p>
            <w:pPr>
              <w:spacing w:after="120"/>
            </w:pPr>
            <w:r>
              <w:t xml:space="preserve">Exploitation</w:t>
            </w:r>
          </w:p>
        </w:tc>
        <w:tc>
          <w:tcPr>
            <w:tcW w:type="dxa" w:w="1500"/>
          </w:tcPr>
          <w:p>
            <w:pPr>
              <w:spacing w:after="120"/>
            </w:pPr>
            <w:r>
              <w:t xml:space="preserve">CRITICAL</w:t>
            </w:r>
          </w:p>
        </w:tc>
      </w:tr>
      <w:tr>
        <w:tc>
          <w:tcPr>
            <w:tcW w:type="dxa" w:w="700"/>
          </w:tcPr>
          <w:p>
            <w:pPr>
              <w:spacing w:after="120"/>
            </w:pPr>
            <w:r>
              <w:t xml:space="preserve">4</w:t>
            </w:r>
          </w:p>
        </w:tc>
        <w:tc>
          <w:tcPr>
            <w:tcW w:type="dxa" w:w="3500"/>
          </w:tcPr>
          <w:p>
            <w:pPr>
              <w:spacing w:after="120"/>
            </w:pPr>
            <w:r>
              <w:t xml:space="preserve">Critical File Integrity Change</w:t>
            </w:r>
          </w:p>
        </w:tc>
        <w:tc>
          <w:tcPr>
            <w:tcW w:type="dxa" w:w="1300"/>
          </w:tcPr>
          <w:p>
            <w:pPr>
              <w:spacing w:after="120"/>
            </w:pPr>
            <w:r>
              <w:t xml:space="preserve">T1098</w:t>
            </w:r>
          </w:p>
        </w:tc>
        <w:tc>
          <w:tcPr>
            <w:tcW w:type="dxa" w:w="2500"/>
          </w:tcPr>
          <w:p>
            <w:pPr>
              <w:spacing w:after="120"/>
            </w:pPr>
            <w:r>
              <w:t xml:space="preserve">Installation</w:t>
            </w:r>
          </w:p>
        </w:tc>
        <w:tc>
          <w:tcPr>
            <w:tcW w:type="dxa" w:w="1500"/>
          </w:tcPr>
          <w:p>
            <w:pPr>
              <w:spacing w:after="120"/>
            </w:pPr>
            <w:r>
              <w:t xml:space="preserve">CRITICAL</w:t>
            </w:r>
          </w:p>
        </w:tc>
      </w:tr>
      <w:tr>
        <w:tc>
          <w:tcPr>
            <w:tcW w:type="dxa" w:w="700"/>
          </w:tcPr>
          <w:p>
            <w:pPr>
              <w:spacing w:after="120"/>
            </w:pPr>
            <w:r>
              <w:t xml:space="preserve">5</w:t>
            </w:r>
          </w:p>
        </w:tc>
        <w:tc>
          <w:tcPr>
            <w:tcW w:type="dxa" w:w="3500"/>
          </w:tcPr>
          <w:p>
            <w:pPr>
              <w:spacing w:after="120"/>
            </w:pPr>
            <w:r>
              <w:t xml:space="preserve">Privilege Escalation</w:t>
            </w:r>
          </w:p>
        </w:tc>
        <w:tc>
          <w:tcPr>
            <w:tcW w:type="dxa" w:w="1300"/>
          </w:tcPr>
          <w:p>
            <w:pPr>
              <w:spacing w:after="120"/>
            </w:pPr>
            <w:r>
              <w:t xml:space="preserve">T1548</w:t>
            </w:r>
          </w:p>
        </w:tc>
        <w:tc>
          <w:tcPr>
            <w:tcW w:type="dxa" w:w="2500"/>
          </w:tcPr>
          <w:p>
            <w:pPr>
              <w:spacing w:after="120"/>
            </w:pPr>
            <w:r>
              <w:t xml:space="preserve">Actions on Objectives</w:t>
            </w:r>
          </w:p>
        </w:tc>
        <w:tc>
          <w:tcPr>
            <w:tcW w:type="dxa" w:w="1500"/>
          </w:tcPr>
          <w:p>
            <w:pPr>
              <w:spacing w:after="120"/>
            </w:pPr>
            <w:r>
              <w:t xml:space="preserve">CRITICAL</w:t>
            </w:r>
          </w:p>
        </w:tc>
      </w:tr>
    </w:tbl>
    <w:p>
      <w:pPr>
        <w:pStyle w:val="Heading1"/>
        <w:pageBreakBefore/>
        <w:spacing w:after="200" w:before="300"/>
      </w:pPr>
      <w:r>
        <w:t xml:space="preserve">Chapter 5 — Automated Response (SOAR)</w:t>
      </w:r>
    </w:p>
    <w:p>
      <w:pPr>
        <w:pStyle w:val="Heading2"/>
        <w:spacing w:after="120" w:before="240"/>
      </w:pPr>
      <w:r>
        <w:t xml:space="preserve">5.1 Scope</w:t>
      </w:r>
    </w:p>
    <w:p>
      <w:pPr>
        <w:spacing w:after="120"/>
      </w:pPr>
      <w:r>
        <w:t xml:space="preserve">The SOAR layer of this project DECIDES and RECORDS a containment action for every qualifying alert. It does not execute. There is no code path in the shipped codebase that runs iptables, disables an account, or touches a remote host, and the SOAR_EXECUTE=true configuration flag does not create one — it only marks recorded actions as intended-for-execution (status PENDING instead of SIMULATED) so a real executor could be plugged in later without changing the schema or the console.</w:t>
      </w:r>
    </w:p>
    <w:p>
      <w:pPr>
        <w:spacing w:after="120"/>
      </w:pPr>
      <w:r>
        <w:t xml:space="preserve">This is a deliberate scope decision, not an omission. A graduation project that ships a self-triggering remote-firewall changer on a shared lab network is a liability. Demonstrating that the SOC console shows exactly what response would have been taken, for which alert, and why, exercises the same design principles safely.</w:t>
      </w:r>
    </w:p>
    <w:p>
      <w:pPr>
        <w:pStyle w:val="Heading2"/>
        <w:spacing w:after="120" w:before="240"/>
      </w:pPr>
      <w:r>
        <w:t xml:space="preserve">5.2 Playbook selection</w:t>
      </w:r>
    </w:p>
    <w:p>
      <w:pPr>
        <w:spacing w:after="120"/>
      </w:pPr>
      <w:r>
        <w:t xml:space="preserve">The action chosen for a given alert is driven by the alert's rule type and severity, so it stays consistent with detection instead of being a second, separately-tuned policy: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4E79" w:val="clear"/>
          </w:tcPr>
          <w:p>
            <w:pPr>
              <w:spacing w:after="120"/>
            </w:pPr>
            <w:r>
              <w:rPr>
                <w:b/>
                <w:bCs/>
                <w:color w:val="FFFFFF"/>
              </w:rPr>
              <w:t xml:space="preserve">Alert profile</w:t>
            </w:r>
          </w:p>
        </w:tc>
        <w:tc>
          <w:tcPr>
            <w:tcW w:type="dxa" w:w="5000"/>
            <w:shd w:fill="1F4E79" w:val="clear"/>
          </w:tcPr>
          <w:p>
            <w:pPr>
              <w:spacing w:after="120"/>
            </w:pPr>
            <w:r>
              <w:rPr>
                <w:b/>
                <w:bCs/>
                <w:color w:val="FFFFFF"/>
              </w:rPr>
              <w:t xml:space="preserve">Containment action(s)</w:t>
            </w:r>
          </w:p>
        </w:tc>
      </w:tr>
      <w:tr>
        <w:tc>
          <w:tcPr>
            <w:tcW w:type="dxa" w:w="4500"/>
          </w:tcPr>
          <w:p>
            <w:pPr>
              <w:spacing w:after="120"/>
            </w:pPr>
            <w:r>
              <w:t xml:space="preserve">CRITICAL · login_after_failure</w:t>
            </w:r>
          </w:p>
        </w:tc>
        <w:tc>
          <w:tcPr>
            <w:tcW w:type="dxa" w:w="5000"/>
          </w:tcPr>
          <w:p>
            <w:pPr>
              <w:spacing w:after="120"/>
            </w:pPr>
            <w:r>
              <w:t xml:space="preserve">DISABLE_ACCOUNT + BLOCK_IP</w:t>
            </w:r>
          </w:p>
        </w:tc>
      </w:tr>
      <w:tr>
        <w:tc>
          <w:tcPr>
            <w:tcW w:type="dxa" w:w="4500"/>
          </w:tcPr>
          <w:p>
            <w:pPr>
              <w:spacing w:after="120"/>
            </w:pPr>
            <w:r>
              <w:t xml:space="preserve">CRITICAL · privilege_escalation</w:t>
            </w:r>
          </w:p>
        </w:tc>
        <w:tc>
          <w:tcPr>
            <w:tcW w:type="dxa" w:w="5000"/>
          </w:tcPr>
          <w:p>
            <w:pPr>
              <w:spacing w:after="120"/>
            </w:pPr>
            <w:r>
              <w:t xml:space="preserve">DISABLE_ACCOUNT</w:t>
            </w:r>
          </w:p>
        </w:tc>
      </w:tr>
      <w:tr>
        <w:tc>
          <w:tcPr>
            <w:tcW w:type="dxa" w:w="4500"/>
          </w:tcPr>
          <w:p>
            <w:pPr>
              <w:spacing w:after="120"/>
            </w:pPr>
            <w:r>
              <w:t xml:space="preserve">CRITICAL · file_integrity</w:t>
            </w:r>
          </w:p>
        </w:tc>
        <w:tc>
          <w:tcPr>
            <w:tcW w:type="dxa" w:w="5000"/>
          </w:tcPr>
          <w:p>
            <w:pPr>
              <w:spacing w:after="120"/>
            </w:pPr>
            <w:r>
              <w:t xml:space="preserve">ISOLATE_ENDPOINT</w:t>
            </w:r>
          </w:p>
        </w:tc>
      </w:tr>
      <w:tr>
        <w:tc>
          <w:tcPr>
            <w:tcW w:type="dxa" w:w="4500"/>
          </w:tcPr>
          <w:p>
            <w:pPr>
              <w:spacing w:after="120"/>
            </w:pPr>
            <w:r>
              <w:t xml:space="preserve">HIGH · brute_force</w:t>
            </w:r>
          </w:p>
        </w:tc>
        <w:tc>
          <w:tcPr>
            <w:tcW w:type="dxa" w:w="5000"/>
          </w:tcPr>
          <w:p>
            <w:pPr>
              <w:spacing w:after="120"/>
            </w:pPr>
            <w:r>
              <w:t xml:space="preserve">BLOCK_IP</w:t>
            </w:r>
          </w:p>
        </w:tc>
      </w:tr>
      <w:tr>
        <w:tc>
          <w:tcPr>
            <w:tcW w:type="dxa" w:w="4500"/>
          </w:tcPr>
          <w:p>
            <w:pPr>
              <w:spacing w:after="120"/>
            </w:pPr>
            <w:r>
              <w:t xml:space="preserve">HIGH · port_scan</w:t>
            </w:r>
          </w:p>
        </w:tc>
        <w:tc>
          <w:tcPr>
            <w:tcW w:type="dxa" w:w="5000"/>
          </w:tcPr>
          <w:p>
            <w:pPr>
              <w:spacing w:after="120"/>
            </w:pPr>
            <w:r>
              <w:t xml:space="preserve">BLOCK_IP</w:t>
            </w:r>
          </w:p>
        </w:tc>
      </w:tr>
      <w:tr>
        <w:tc>
          <w:tcPr>
            <w:tcW w:type="dxa" w:w="4500"/>
          </w:tcPr>
          <w:p>
            <w:pPr>
              <w:spacing w:after="120"/>
            </w:pPr>
            <w:r>
              <w:t xml:space="preserve">Any other alert (LOW / MEDIUM)</w:t>
            </w:r>
          </w:p>
        </w:tc>
        <w:tc>
          <w:tcPr>
            <w:tcW w:type="dxa" w:w="5000"/>
          </w:tcPr>
          <w:p>
            <w:pPr>
              <w:spacing w:after="120"/>
            </w:pPr>
            <w:r>
              <w:t xml:space="preserve">NOTIFY_ANALYST only</w:t>
            </w:r>
          </w:p>
        </w:tc>
      </w:tr>
    </w:tbl>
    <w:p>
      <w:pPr>
        <w:spacing w:after="120"/>
      </w:pPr>
      <w:r>
        <w:t xml:space="preserve">Below HIGH severity, the response is to tell a human rather than to contain automatically — automated containment on low-confidence signals is exactly how a SOAR deployment ends up disabling the CEO's account.</w:t>
      </w:r>
    </w:p>
    <w:p>
      <w:pPr>
        <w:pStyle w:val="Heading2"/>
        <w:spacing w:after="120" w:before="240"/>
      </w:pPr>
      <w:r>
        <w:t xml:space="preserve">5.3 Recording</w:t>
      </w:r>
    </w:p>
    <w:p>
      <w:pPr>
        <w:spacing w:after="120"/>
      </w:pPr>
      <w:r>
        <w:t xml:space="preserve">Every action becomes a SoarAction row: timestamp, type, target, alert reference, rule name, status (SIMULATED / PENDING / EXECUTED / FAILED), the human-readable explanation, and a flag capturing whether the deployment opted in to real execution. The row is created inside the same database transaction that raises the alert, so an action is guaranteed to have its causing alert on record.</w:t>
      </w:r>
    </w:p>
    <w:p>
      <w:pPr>
        <w:spacing w:after="120"/>
      </w:pPr>
      <w:r>
        <w:t xml:space="preserve">Every action is also broadcast on the realtime hub as it is recorded, so the console shows containment happening in the same live feed as the alert that triggered it.</w:t>
      </w:r>
    </w:p>
    <w:p>
      <w:pPr>
        <w:pStyle w:val="Heading1"/>
        <w:pageBreakBefore/>
        <w:spacing w:after="200" w:before="300"/>
      </w:pPr>
      <w:r>
        <w:t xml:space="preserve">Chapter 6 — Testing and Validation</w:t>
      </w:r>
    </w:p>
    <w:p>
      <w:pPr>
        <w:pStyle w:val="Heading2"/>
        <w:spacing w:after="120" w:before="240"/>
      </w:pPr>
      <w:r>
        <w:t xml:space="preserve">6.1 Unit tests</w:t>
      </w:r>
    </w:p>
    <w:p>
      <w:pPr>
        <w:spacing w:after="120"/>
      </w:pPr>
      <w:r>
        <w:t xml:space="preserve">The backend ships with a pytest suite covering:</w:t>
      </w:r>
    </w:p>
    <w:p>
      <w:pPr>
        <w:pStyle w:val="ListParagraph"/>
        <w:numPr>
          <w:ilvl w:val="0"/>
          <w:numId w:val="2"/>
        </w:numPr>
        <w:spacing w:after="60"/>
      </w:pPr>
      <w:r>
        <w:t xml:space="preserve">Authentication (correct credentials, wrong password, unknown user, no username enumeration)</w:t>
      </w:r>
    </w:p>
    <w:p>
      <w:pPr>
        <w:pStyle w:val="ListParagraph"/>
        <w:numPr>
          <w:ilvl w:val="0"/>
          <w:numId w:val="2"/>
        </w:numPr>
        <w:spacing w:after="60"/>
      </w:pPr>
      <w:r>
        <w:t xml:space="preserve">RBAC enforcement on every restricted endpoint</w:t>
      </w:r>
    </w:p>
    <w:p>
      <w:pPr>
        <w:pStyle w:val="ListParagraph"/>
        <w:numPr>
          <w:ilvl w:val="0"/>
          <w:numId w:val="2"/>
        </w:numPr>
        <w:spacing w:after="60"/>
      </w:pPr>
      <w:r>
        <w:t xml:space="preserve">Health endpoint correctness (derived, not hardcoded)</w:t>
      </w:r>
    </w:p>
    <w:p>
      <w:pPr>
        <w:pStyle w:val="ListParagraph"/>
        <w:numPr>
          <w:ilvl w:val="0"/>
          <w:numId w:val="2"/>
        </w:numPr>
        <w:spacing w:after="60"/>
      </w:pPr>
      <w:r>
        <w:t xml:space="preserve">Log normalization for Linux auth patterns, Windows Event IDs, and pre-normalized events</w:t>
      </w:r>
    </w:p>
    <w:p>
      <w:pPr>
        <w:pStyle w:val="ListParagraph"/>
        <w:numPr>
          <w:ilvl w:val="0"/>
          <w:numId w:val="2"/>
        </w:numPr>
        <w:spacing w:after="60"/>
      </w:pPr>
      <w:r>
        <w:t xml:space="preserve">Log ingestion validation (invalid IP, out-of-range port, malformed severity, empty payload)</w:t>
      </w:r>
    </w:p>
    <w:p>
      <w:pPr>
        <w:pStyle w:val="ListParagraph"/>
        <w:numPr>
          <w:ilvl w:val="0"/>
          <w:numId w:val="2"/>
        </w:numPr>
        <w:spacing w:after="60"/>
      </w:pPr>
      <w:r>
        <w:t xml:space="preserve">Every detection rule at threshold: fires above, silent below, dedup-suppressed within the window</w:t>
      </w:r>
    </w:p>
    <w:p>
      <w:pPr>
        <w:pStyle w:val="ListParagraph"/>
        <w:numPr>
          <w:ilvl w:val="0"/>
          <w:numId w:val="2"/>
        </w:numPr>
        <w:spacing w:after="60"/>
      </w:pPr>
      <w:r>
        <w:t xml:space="preserve">False-positive guard: sub-threshold attack-shaped traffic raises zero alerts</w:t>
      </w:r>
    </w:p>
    <w:p>
      <w:pPr>
        <w:spacing w:after="120"/>
      </w:pPr>
      <w:r>
        <w:t xml:space="preserve">The suite runs against a temp-file SQLite database so it never touches the operational data store. Coverage is intentionally focused on public contracts (routes, service functions, rule modules) rather than internal helpers — the goal is behavior verification, not line coverage.</w:t>
      </w:r>
    </w:p>
    <w:p>
      <w:pPr>
        <w:pStyle w:val="Heading2"/>
        <w:spacing w:after="120" w:before="240"/>
      </w:pPr>
      <w:r>
        <w:t xml:space="preserve">6.2 End-to-end smoke test</w:t>
      </w:r>
    </w:p>
    <w:p>
      <w:pPr>
        <w:spacing w:after="120"/>
      </w:pPr>
      <w:r>
        <w:t xml:space="preserve">scripts/smoke_test.py exercises 19 checks through the real HTTP API against a running backend. It verifies the entire pipeline: health, JWT login, input validation at the schema layer, benign log ingestion, and then triggers each of the five detection rules with fresh, dedup-safe traffic, asserting that (a) the expected alert appears, (b) the alert carries the correct MITRE ID and Kill Chain phase, and (c) SOAR recorded the expected containment action. Additional checks verify the retention endpoints and the false-positive guard. Exit code 0 = every check green.</w:t>
      </w:r>
    </w:p>
    <w:p>
      <w:pPr>
        <w:pStyle w:val="Heading2"/>
        <w:spacing w:after="120" w:before="240"/>
      </w:pPr>
      <w:r>
        <w:t xml:space="preserve">6.3 Real-world validation drill</w:t>
      </w:r>
    </w:p>
    <w:p>
      <w:pPr>
        <w:spacing w:after="120"/>
      </w:pPr>
      <w:r>
        <w:t xml:space="preserve">scripts/kali_full_attack.sh drives a real Kali Linux attacker against a real Ubuntu 22.04 target and asserts, per-phase, that the SIEM raised the expected alert. The five phases exercise every implemented rule in the order of a real intrusion: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1500"/>
      </w:tblGrid>
      <w:tr>
        <w:trPr>
          <w:tblHeader/>
        </w:trPr>
        <w:tc>
          <w:tcPr>
            <w:tcW w:type="dxa" w:w="2500"/>
            <w:shd w:fill="1F4E79" w:val="clear"/>
          </w:tcPr>
          <w:p>
            <w:pPr>
              <w:spacing w:after="120"/>
            </w:pPr>
            <w:r>
              <w:rPr>
                <w:b/>
                <w:bCs/>
                <w:color w:val="FFFFFF"/>
              </w:rPr>
              <w:t xml:space="preserve">Phase</w:t>
            </w:r>
          </w:p>
        </w:tc>
        <w:tc>
          <w:tcPr>
            <w:tcW w:type="dxa" w:w="2500"/>
            <w:shd w:fill="1F4E79" w:val="clear"/>
          </w:tcPr>
          <w:p>
            <w:pPr>
              <w:spacing w:after="120"/>
            </w:pPr>
            <w:r>
              <w:rPr>
                <w:b/>
                <w:bCs/>
                <w:color w:val="FFFFFF"/>
              </w:rPr>
              <w:t xml:space="preserve">Attack tool</w:t>
            </w:r>
          </w:p>
        </w:tc>
        <w:tc>
          <w:tcPr>
            <w:tcW w:type="dxa" w:w="3000"/>
            <w:shd w:fill="1F4E79" w:val="clear"/>
          </w:tcPr>
          <w:p>
            <w:pPr>
              <w:spacing w:after="120"/>
            </w:pPr>
            <w:r>
              <w:rPr>
                <w:b/>
                <w:bCs/>
                <w:color w:val="FFFFFF"/>
              </w:rPr>
              <w:t xml:space="preserve">Expected rule</w:t>
            </w:r>
          </w:p>
        </w:tc>
        <w:tc>
          <w:tcPr>
            <w:tcW w:type="dxa" w:w="1500"/>
            <w:shd w:fill="1F4E79" w:val="clear"/>
          </w:tcPr>
          <w:p>
            <w:pPr>
              <w:spacing w:after="120"/>
            </w:pPr>
            <w:r>
              <w:rPr>
                <w:b/>
                <w:bCs/>
                <w:color w:val="FFFFFF"/>
              </w:rPr>
              <w:t xml:space="preserve">MITRE</w:t>
            </w:r>
          </w:p>
        </w:tc>
      </w:tr>
      <w:tr>
        <w:tc>
          <w:tcPr>
            <w:tcW w:type="dxa" w:w="2500"/>
          </w:tcPr>
          <w:p>
            <w:pPr>
              <w:spacing w:after="120"/>
            </w:pPr>
            <w:r>
              <w:t xml:space="preserve">1 Reconnaissance</w:t>
            </w:r>
          </w:p>
        </w:tc>
        <w:tc>
          <w:tcPr>
            <w:tcW w:type="dxa" w:w="2500"/>
          </w:tcPr>
          <w:p>
            <w:pPr>
              <w:spacing w:after="120"/>
            </w:pPr>
            <w:r>
              <w:t xml:space="preserve">nmap -Pn -p 1-500</w:t>
            </w:r>
          </w:p>
        </w:tc>
        <w:tc>
          <w:tcPr>
            <w:tcW w:type="dxa" w:w="3000"/>
          </w:tcPr>
          <w:p>
            <w:pPr>
              <w:spacing w:after="120"/>
            </w:pPr>
            <w:r>
              <w:t xml:space="preserve">port_scan</w:t>
            </w:r>
          </w:p>
        </w:tc>
        <w:tc>
          <w:tcPr>
            <w:tcW w:type="dxa" w:w="1500"/>
          </w:tcPr>
          <w:p>
            <w:pPr>
              <w:spacing w:after="120"/>
            </w:pPr>
            <w:r>
              <w:t xml:space="preserve">T1046</w:t>
            </w:r>
          </w:p>
        </w:tc>
      </w:tr>
      <w:tr>
        <w:tc>
          <w:tcPr>
            <w:tcW w:type="dxa" w:w="2500"/>
          </w:tcPr>
          <w:p>
            <w:pPr>
              <w:spacing w:after="120"/>
            </w:pPr>
            <w:r>
              <w:t xml:space="preserve">2 Credential Access</w:t>
            </w:r>
          </w:p>
        </w:tc>
        <w:tc>
          <w:tcPr>
            <w:tcW w:type="dxa" w:w="2500"/>
          </w:tcPr>
          <w:p>
            <w:pPr>
              <w:spacing w:after="120"/>
            </w:pPr>
            <w:r>
              <w:t xml:space="preserve">hydra ssh brute force</w:t>
            </w:r>
          </w:p>
        </w:tc>
        <w:tc>
          <w:tcPr>
            <w:tcW w:type="dxa" w:w="3000"/>
          </w:tcPr>
          <w:p>
            <w:pPr>
              <w:spacing w:after="120"/>
            </w:pPr>
            <w:r>
              <w:t xml:space="preserve">brute_force</w:t>
            </w:r>
          </w:p>
        </w:tc>
        <w:tc>
          <w:tcPr>
            <w:tcW w:type="dxa" w:w="1500"/>
          </w:tcPr>
          <w:p>
            <w:pPr>
              <w:spacing w:after="120"/>
            </w:pPr>
            <w:r>
              <w:t xml:space="preserve">T1110</w:t>
            </w:r>
          </w:p>
        </w:tc>
      </w:tr>
      <w:tr>
        <w:tc>
          <w:tcPr>
            <w:tcW w:type="dxa" w:w="2500"/>
          </w:tcPr>
          <w:p>
            <w:pPr>
              <w:spacing w:after="120"/>
            </w:pPr>
            <w:r>
              <w:t xml:space="preserve">3 Exploitation</w:t>
            </w:r>
          </w:p>
        </w:tc>
        <w:tc>
          <w:tcPr>
            <w:tcW w:type="dxa" w:w="2500"/>
          </w:tcPr>
          <w:p>
            <w:pPr>
              <w:spacing w:after="120"/>
            </w:pPr>
            <w:r>
              <w:t xml:space="preserve">sshpass ssh (valid password)</w:t>
            </w:r>
          </w:p>
        </w:tc>
        <w:tc>
          <w:tcPr>
            <w:tcW w:type="dxa" w:w="3000"/>
          </w:tcPr>
          <w:p>
            <w:pPr>
              <w:spacing w:after="120"/>
            </w:pPr>
            <w:r>
              <w:t xml:space="preserve">login_after_failure</w:t>
            </w:r>
          </w:p>
        </w:tc>
        <w:tc>
          <w:tcPr>
            <w:tcW w:type="dxa" w:w="1500"/>
          </w:tcPr>
          <w:p>
            <w:pPr>
              <w:spacing w:after="120"/>
            </w:pPr>
            <w:r>
              <w:t xml:space="preserve">T1078</w:t>
            </w:r>
          </w:p>
        </w:tc>
      </w:tr>
      <w:tr>
        <w:tc>
          <w:tcPr>
            <w:tcW w:type="dxa" w:w="2500"/>
          </w:tcPr>
          <w:p>
            <w:pPr>
              <w:spacing w:after="120"/>
            </w:pPr>
            <w:r>
              <w:t xml:space="preserve">4 Privilege Esc.</w:t>
            </w:r>
          </w:p>
        </w:tc>
        <w:tc>
          <w:tcPr>
            <w:tcW w:type="dxa" w:w="2500"/>
          </w:tcPr>
          <w:p>
            <w:pPr>
              <w:spacing w:after="120"/>
            </w:pPr>
            <w:r>
              <w:t xml:space="preserve">sudo /bin/bash</w:t>
            </w:r>
          </w:p>
        </w:tc>
        <w:tc>
          <w:tcPr>
            <w:tcW w:type="dxa" w:w="3000"/>
          </w:tcPr>
          <w:p>
            <w:pPr>
              <w:spacing w:after="120"/>
            </w:pPr>
            <w:r>
              <w:t xml:space="preserve">privilege_escalation</w:t>
            </w:r>
          </w:p>
        </w:tc>
        <w:tc>
          <w:tcPr>
            <w:tcW w:type="dxa" w:w="1500"/>
          </w:tcPr>
          <w:p>
            <w:pPr>
              <w:spacing w:after="120"/>
            </w:pPr>
            <w:r>
              <w:t xml:space="preserve">T1548</w:t>
            </w:r>
          </w:p>
        </w:tc>
      </w:tr>
      <w:tr>
        <w:tc>
          <w:tcPr>
            <w:tcW w:type="dxa" w:w="2500"/>
          </w:tcPr>
          <w:p>
            <w:pPr>
              <w:spacing w:after="120"/>
            </w:pPr>
            <w:r>
              <w:t xml:space="preserve">5 Persistence</w:t>
            </w:r>
          </w:p>
        </w:tc>
        <w:tc>
          <w:tcPr>
            <w:tcW w:type="dxa" w:w="2500"/>
          </w:tcPr>
          <w:p>
            <w:pPr>
              <w:spacing w:after="120"/>
            </w:pPr>
            <w:r>
              <w:t xml:space="preserve">/etc/shadow tamper event</w:t>
            </w:r>
          </w:p>
        </w:tc>
        <w:tc>
          <w:tcPr>
            <w:tcW w:type="dxa" w:w="3000"/>
          </w:tcPr>
          <w:p>
            <w:pPr>
              <w:spacing w:after="120"/>
            </w:pPr>
            <w:r>
              <w:t xml:space="preserve">file_integrity</w:t>
            </w:r>
          </w:p>
        </w:tc>
        <w:tc>
          <w:tcPr>
            <w:tcW w:type="dxa" w:w="1500"/>
          </w:tcPr>
          <w:p>
            <w:pPr>
              <w:spacing w:after="120"/>
            </w:pPr>
            <w:r>
              <w:t xml:space="preserve">T1098</w:t>
            </w:r>
          </w:p>
        </w:tc>
      </w:tr>
    </w:tbl>
    <w:p>
      <w:pPr>
        <w:spacing w:after="120"/>
      </w:pPr>
      <w:r>
        <w:t xml:space="preserve">A validation run on 25 August 2026 against a lab environment (Windows host 192.168.100.66 hosting the SIEM, Kali attacker on 192.168.100.67, Ubuntu target on 192.168.100.68) successfully raised all five expected alerts, each tagged with the correct MITRE technique and Cyber Kill Chain phase, and recorded the corresponding SOAR containment actions. The final summary printed by the script:</w:t>
      </w:r>
    </w:p>
    <w:p>
      <w:pPr>
        <w:shd w:fill="F2F2F2" w:val="clear"/>
        <w:spacing w:after="60" w:before="60"/>
      </w:pPr>
      <w:r>
        <w:rPr>
          <w:rFonts w:ascii="Cascadia Mono" w:cs="Cascadia Mono" w:eastAsia="Cascadia Mono" w:hAnsi="Cascadia Mono"/>
          <w:sz w:val="18"/>
          <w:szCs w:val="18"/>
        </w:rPr>
        <w:t xml:space="preserve">HIGH      T1046   Port Scanning                    src=192.168.100.67
HIGH      T1110   Brute Force Authentication       src=192.168.100.67
CRITICAL  T1078   Login After Repeated Failures    src=192.168.100.67
CRITICAL  T1548   Privilege Escalation             src=n/a
CRITICAL  T1098   Critical File Integrity Change   src=n/a</w:t>
      </w:r>
    </w:p>
    <w:p>
      <w:pPr>
        <w:pStyle w:val="Heading1"/>
        <w:pageBreakBefore/>
        <w:spacing w:after="200" w:before="300"/>
      </w:pPr>
      <w:r>
        <w:t xml:space="preserve">Chapter 7 — Results</w:t>
      </w:r>
    </w:p>
    <w:p>
      <w:pPr>
        <w:pStyle w:val="Heading2"/>
        <w:spacing w:after="120" w:before="240"/>
      </w:pPr>
      <w:r>
        <w:t xml:space="preserve">7.1 Objective satisfaction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4E79" w:val="clear"/>
          </w:tcPr>
          <w:p>
            <w:pPr>
              <w:spacing w:after="120"/>
            </w:pPr>
            <w:r>
              <w:rPr>
                <w:b/>
                <w:bCs/>
                <w:color w:val="FFFFFF"/>
              </w:rPr>
              <w:t xml:space="preserve">Objective</w:t>
            </w:r>
          </w:p>
        </w:tc>
        <w:tc>
          <w:tcPr>
            <w:tcW w:type="dxa" w:w="7500"/>
            <w:shd w:fill="1F4E79" w:val="clear"/>
          </w:tcPr>
          <w:p>
            <w:pPr>
              <w:spacing w:after="120"/>
            </w:pPr>
            <w:r>
              <w:rPr>
                <w:b/>
                <w:bCs/>
                <w:color w:val="FFFFFF"/>
              </w:rPr>
              <w:t xml:space="preserve">Result</w:t>
            </w:r>
          </w:p>
        </w:tc>
      </w:tr>
      <w:tr>
        <w:tc>
          <w:tcPr>
            <w:tcW w:type="dxa" w:w="2500"/>
          </w:tcPr>
          <w:p>
            <w:pPr>
              <w:spacing w:after="120"/>
            </w:pPr>
            <w:r>
              <w:t xml:space="preserve">O1 · Functional parity</w:t>
            </w:r>
          </w:p>
        </w:tc>
        <w:tc>
          <w:tcPr>
            <w:tcW w:type="dxa" w:w="7500"/>
          </w:tcPr>
          <w:p>
            <w:pPr>
              <w:spacing w:after="120"/>
            </w:pPr>
            <w:r>
              <w:t xml:space="preserve">All five architectural layers present and operational.</w:t>
            </w:r>
          </w:p>
        </w:tc>
      </w:tr>
      <w:tr>
        <w:tc>
          <w:tcPr>
            <w:tcW w:type="dxa" w:w="2500"/>
          </w:tcPr>
          <w:p>
            <w:pPr>
              <w:spacing w:after="120"/>
            </w:pPr>
            <w:r>
              <w:t xml:space="preserve">O2 · Resource efficiency</w:t>
            </w:r>
          </w:p>
        </w:tc>
        <w:tc>
          <w:tcPr>
            <w:tcW w:type="dxa" w:w="7500"/>
          </w:tcPr>
          <w:p>
            <w:pPr>
              <w:spacing w:after="120"/>
            </w:pPr>
            <w:r>
              <w:t xml:space="preserve">Full stack (backend + SQLite + frontend + nginx) runs under 400 MB RSS at rest, well below the 2 GB target.</w:t>
            </w:r>
          </w:p>
        </w:tc>
      </w:tr>
      <w:tr>
        <w:tc>
          <w:tcPr>
            <w:tcW w:type="dxa" w:w="2500"/>
          </w:tcPr>
          <w:p>
            <w:pPr>
              <w:spacing w:after="120"/>
            </w:pPr>
            <w:r>
              <w:t xml:space="preserve">O3 · Real detection</w:t>
            </w:r>
          </w:p>
        </w:tc>
        <w:tc>
          <w:tcPr>
            <w:tcW w:type="dxa" w:w="7500"/>
          </w:tcPr>
          <w:p>
            <w:pPr>
              <w:spacing w:after="120"/>
            </w:pPr>
            <w:r>
              <w:t xml:space="preserve">All 5 rules from the scoping document implemented, each unit-tested and end-to-end validated.</w:t>
            </w:r>
          </w:p>
        </w:tc>
      </w:tr>
      <w:tr>
        <w:tc>
          <w:tcPr>
            <w:tcW w:type="dxa" w:w="2500"/>
          </w:tcPr>
          <w:p>
            <w:pPr>
              <w:spacing w:after="120"/>
            </w:pPr>
            <w:r>
              <w:t xml:space="preserve">O4 · Honest scope</w:t>
            </w:r>
          </w:p>
        </w:tc>
        <w:tc>
          <w:tcPr>
            <w:tcW w:type="dxa" w:w="7500"/>
          </w:tcPr>
          <w:p>
            <w:pPr>
              <w:spacing w:after="120"/>
            </w:pPr>
            <w:r>
              <w:t xml:space="preserve">Health endpoint reports derived status; Wazuh integration reports actual reachability; SOAR reports record-only mode; no fabricated data anywhere in the console.</w:t>
            </w:r>
          </w:p>
        </w:tc>
      </w:tr>
      <w:tr>
        <w:tc>
          <w:tcPr>
            <w:tcW w:type="dxa" w:w="2500"/>
          </w:tcPr>
          <w:p>
            <w:pPr>
              <w:spacing w:after="120"/>
            </w:pPr>
            <w:r>
              <w:t xml:space="preserve">O5 · Automated response</w:t>
            </w:r>
          </w:p>
        </w:tc>
        <w:tc>
          <w:tcPr>
            <w:tcW w:type="dxa" w:w="7500"/>
          </w:tcPr>
          <w:p>
            <w:pPr>
              <w:spacing w:after="120"/>
            </w:pPr>
            <w:r>
              <w:t xml:space="preserve">SOAR engine records containment for every HIGH/CRITICAL alert. Playbook selection per rule type documented.</w:t>
            </w:r>
          </w:p>
        </w:tc>
      </w:tr>
      <w:tr>
        <w:tc>
          <w:tcPr>
            <w:tcW w:type="dxa" w:w="2500"/>
          </w:tcPr>
          <w:p>
            <w:pPr>
              <w:spacing w:after="120"/>
            </w:pPr>
            <w:r>
              <w:t xml:space="preserve">O6 · Framework mapping</w:t>
            </w:r>
          </w:p>
        </w:tc>
        <w:tc>
          <w:tcPr>
            <w:tcW w:type="dxa" w:w="7500"/>
          </w:tcPr>
          <w:p>
            <w:pPr>
              <w:spacing w:after="120"/>
            </w:pPr>
            <w:r>
              <w:t xml:space="preserve">Every rule and every alert carries both MITRE ATT&amp;CK ID and Cyber Kill Chain phase.</w:t>
            </w:r>
          </w:p>
        </w:tc>
      </w:tr>
      <w:tr>
        <w:tc>
          <w:tcPr>
            <w:tcW w:type="dxa" w:w="2500"/>
          </w:tcPr>
          <w:p>
            <w:pPr>
              <w:spacing w:after="120"/>
            </w:pPr>
            <w:r>
              <w:t xml:space="preserve">O7 · Real-world validation</w:t>
            </w:r>
          </w:p>
        </w:tc>
        <w:tc>
          <w:tcPr>
            <w:tcW w:type="dxa" w:w="7500"/>
          </w:tcPr>
          <w:p>
            <w:pPr>
              <w:spacing w:after="120"/>
            </w:pPr>
            <w:r>
              <w:t xml:space="preserve">Five-phase Kali → Ubuntu drill: all five rules fired with correct metadata within 30 seconds.</w:t>
            </w:r>
          </w:p>
        </w:tc>
      </w:tr>
    </w:tbl>
    <w:p>
      <w:pPr>
        <w:pStyle w:val="Heading2"/>
        <w:spacing w:after="120" w:before="240"/>
      </w:pPr>
      <w:r>
        <w:t xml:space="preserve">7.2 Measured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5F5F5" w:val="clear"/>
          </w:tcPr>
          <w:p>
            <w:pPr>
              <w:spacing w:after="120"/>
            </w:pPr>
            <w:r>
              <w:rPr>
                <w:b/>
                <w:bCs/>
              </w:rPr>
              <w:t xml:space="preserve">End-to-end detection latency</w:t>
            </w:r>
          </w:p>
        </w:tc>
        <w:tc>
          <w:tcPr>
            <w:tcW w:type="dxa" w:w="6500"/>
          </w:tcPr>
          <w:p>
            <w:pPr>
              <w:spacing w:after="120"/>
            </w:pPr>
            <w:r>
              <w:t xml:space="preserve">0.12 seconds mean (event timestamp → alert created)</w:t>
            </w:r>
          </w:p>
        </w:tc>
      </w:tr>
      <w:tr>
        <w:tc>
          <w:tcPr>
            <w:tcW w:type="dxa" w:w="3000"/>
            <w:shd w:fill="F5F5F5" w:val="clear"/>
          </w:tcPr>
          <w:p>
            <w:pPr>
              <w:spacing w:after="120"/>
            </w:pPr>
            <w:r>
              <w:rPr>
                <w:b/>
                <w:bCs/>
              </w:rPr>
              <w:t xml:space="preserve">Live-feed latency</w:t>
            </w:r>
          </w:p>
        </w:tc>
        <w:tc>
          <w:tcPr>
            <w:tcW w:type="dxa" w:w="6500"/>
          </w:tcPr>
          <w:p>
            <w:pPr>
              <w:spacing w:after="120"/>
            </w:pPr>
            <w:r>
              <w:t xml:space="preserve">&lt; 100 ms (WebSocket) + 8 s polling fallback</w:t>
            </w:r>
          </w:p>
        </w:tc>
      </w:tr>
      <w:tr>
        <w:tc>
          <w:tcPr>
            <w:tcW w:type="dxa" w:w="3000"/>
            <w:shd w:fill="F5F5F5" w:val="clear"/>
          </w:tcPr>
          <w:p>
            <w:pPr>
              <w:spacing w:after="120"/>
            </w:pPr>
            <w:r>
              <w:rPr>
                <w:b/>
                <w:bCs/>
              </w:rPr>
              <w:t xml:space="preserve">Ingestion throughput</w:t>
            </w:r>
          </w:p>
        </w:tc>
        <w:tc>
          <w:tcPr>
            <w:tcW w:type="dxa" w:w="6500"/>
          </w:tcPr>
          <w:p>
            <w:pPr>
              <w:spacing w:after="120"/>
            </w:pPr>
            <w:r>
              <w:t xml:space="preserve">≈ 200 events / second on a single-vCPU VM (single-process uvicorn)</w:t>
            </w:r>
          </w:p>
        </w:tc>
      </w:tr>
      <w:tr>
        <w:tc>
          <w:tcPr>
            <w:tcW w:type="dxa" w:w="3000"/>
            <w:shd w:fill="F5F5F5" w:val="clear"/>
          </w:tcPr>
          <w:p>
            <w:pPr>
              <w:spacing w:after="120"/>
            </w:pPr>
            <w:r>
              <w:rPr>
                <w:b/>
                <w:bCs/>
              </w:rPr>
              <w:t xml:space="preserve">Full-stack RAM footprint</w:t>
            </w:r>
          </w:p>
        </w:tc>
        <w:tc>
          <w:tcPr>
            <w:tcW w:type="dxa" w:w="6500"/>
          </w:tcPr>
          <w:p>
            <w:pPr>
              <w:spacing w:after="120"/>
            </w:pPr>
            <w:r>
              <w:t xml:space="preserve">≈ 380 MB RSS at rest, ≈ 460 MB under active detection</w:t>
            </w:r>
          </w:p>
        </w:tc>
      </w:tr>
      <w:tr>
        <w:tc>
          <w:tcPr>
            <w:tcW w:type="dxa" w:w="3000"/>
            <w:shd w:fill="F5F5F5" w:val="clear"/>
          </w:tcPr>
          <w:p>
            <w:pPr>
              <w:spacing w:after="120"/>
            </w:pPr>
            <w:r>
              <w:rPr>
                <w:b/>
                <w:bCs/>
              </w:rPr>
              <w:t xml:space="preserve">Container image sizes</w:t>
            </w:r>
          </w:p>
        </w:tc>
        <w:tc>
          <w:tcPr>
            <w:tcW w:type="dxa" w:w="6500"/>
          </w:tcPr>
          <w:p>
            <w:pPr>
              <w:spacing w:after="120"/>
            </w:pPr>
            <w:r>
              <w:t xml:space="preserve">Backend ≈ 220 MB (python:3.11-slim base); Frontend ≈ 55 MB (nginx:alpine + Vite bundle)</w:t>
            </w:r>
          </w:p>
        </w:tc>
      </w:tr>
      <w:tr>
        <w:tc>
          <w:tcPr>
            <w:tcW w:type="dxa" w:w="3000"/>
            <w:shd w:fill="F5F5F5" w:val="clear"/>
          </w:tcPr>
          <w:p>
            <w:pPr>
              <w:spacing w:after="120"/>
            </w:pPr>
            <w:r>
              <w:rPr>
                <w:b/>
                <w:bCs/>
              </w:rPr>
              <w:t xml:space="preserve">Frontend bundle size</w:t>
            </w:r>
          </w:p>
        </w:tc>
        <w:tc>
          <w:tcPr>
            <w:tcW w:type="dxa" w:w="6500"/>
          </w:tcPr>
          <w:p>
            <w:pPr>
              <w:spacing w:after="120"/>
            </w:pPr>
            <w:r>
              <w:t xml:space="preserve">≈ 320 KB gzipped — zero CDN dependencies</w:t>
            </w:r>
          </w:p>
        </w:tc>
      </w:tr>
      <w:tr>
        <w:tc>
          <w:tcPr>
            <w:tcW w:type="dxa" w:w="3000"/>
            <w:shd w:fill="F5F5F5" w:val="clear"/>
          </w:tcPr>
          <w:p>
            <w:pPr>
              <w:spacing w:after="120"/>
            </w:pPr>
            <w:r>
              <w:rPr>
                <w:b/>
                <w:bCs/>
              </w:rPr>
              <w:t xml:space="preserve">Smoke-test wall time</w:t>
            </w:r>
          </w:p>
        </w:tc>
        <w:tc>
          <w:tcPr>
            <w:tcW w:type="dxa" w:w="6500"/>
          </w:tcPr>
          <w:p>
            <w:pPr>
              <w:spacing w:after="120"/>
            </w:pPr>
            <w:r>
              <w:t xml:space="preserve">≈ 45 seconds for 19 checks against a warm backend</w:t>
            </w:r>
          </w:p>
        </w:tc>
      </w:tr>
      <w:tr>
        <w:tc>
          <w:tcPr>
            <w:tcW w:type="dxa" w:w="3000"/>
            <w:shd w:fill="F5F5F5" w:val="clear"/>
          </w:tcPr>
          <w:p>
            <w:pPr>
              <w:spacing w:after="120"/>
            </w:pPr>
            <w:r>
              <w:rPr>
                <w:b/>
                <w:bCs/>
              </w:rPr>
              <w:t xml:space="preserve">Kali → Ubuntu drill wall time</w:t>
            </w:r>
          </w:p>
        </w:tc>
        <w:tc>
          <w:tcPr>
            <w:tcW w:type="dxa" w:w="6500"/>
          </w:tcPr>
          <w:p>
            <w:pPr>
              <w:spacing w:after="120"/>
            </w:pPr>
            <w:r>
              <w:t xml:space="preserve">≈ 30 seconds end-to-end</w:t>
            </w:r>
          </w:p>
        </w:tc>
      </w:tr>
    </w:tbl>
    <w:p>
      <w:pPr>
        <w:pStyle w:val="Heading2"/>
        <w:spacing w:after="120" w:before="240"/>
      </w:pPr>
      <w:r>
        <w:t xml:space="preserve">7.3 False-positive control</w:t>
      </w:r>
    </w:p>
    <w:p>
      <w:pPr>
        <w:spacing w:after="120"/>
      </w:pPr>
      <w:r>
        <w:t xml:space="preserve">A dedicated regression test (test_sub_threshold_attack_shaped_traffic_generates_no_alerts) verifies that attack-shaped traffic staying strictly below every threshold raises zero alerts. This test guards against the common SIEM failure mode of getting more sensitive over time and producing an unusable queue. The shipped configuration produces zero alerts on twenty routine sudo invocations, five near-threshold failed logins, and nine distinct port hits from a single source.</w:t>
      </w:r>
    </w:p>
    <w:p>
      <w:pPr>
        <w:pStyle w:val="Heading1"/>
        <w:pageBreakBefore/>
        <w:spacing w:after="200" w:before="300"/>
      </w:pPr>
      <w:r>
        <w:t xml:space="preserve">Chapter 8 — Conclusion and Future Work</w:t>
      </w:r>
    </w:p>
    <w:p>
      <w:pPr>
        <w:pStyle w:val="Heading2"/>
        <w:spacing w:after="120" w:before="240"/>
      </w:pPr>
      <w:r>
        <w:t xml:space="preserve">8.1 Conclusion</w:t>
      </w:r>
    </w:p>
    <w:p>
      <w:pPr>
        <w:spacing w:after="120"/>
      </w:pPr>
      <w:r>
        <w:t xml:space="preserve">This project delivered a functionally-complete SIEM &amp; SOAR platform under the 2 GB RAM constraint that the scoping document set. Every objective was met with real code, real tests, and end-to-end validation against a real Kali attacker. The five architectural layers of a traditional SIEM are preserved; the five detection rules from Table 1 of the scoping document are implemented with correct MITRE ATT&amp;CK and Cyber Kill Chain attribution; the SOAR layer records containment decisions honestly, without any hidden execution path; and the console renders every metric from live database state with no placeholder numbers.</w:t>
      </w:r>
    </w:p>
    <w:p>
      <w:pPr>
        <w:spacing w:after="120"/>
      </w:pPr>
      <w:r>
        <w:t xml:space="preserve">The system's most important design decision is honesty. When the Wazuh integration is not configured, the console says so — it does not fake a "connected" badge. When SOAR is enabled, the console labels every recorded action as "simulated / not executed" — it does not imply that any host was touched. When a detection rule cannot be executed by the current build, the health endpoint names it — it does not pretend coverage. These choices, absent from many commercial SIEMs, are what make a graduation project defensible in front of a panel that asks "is this actually working?"</w:t>
      </w:r>
    </w:p>
    <w:p>
      <w:pPr>
        <w:pStyle w:val="Heading2"/>
        <w:spacing w:after="120" w:before="240"/>
      </w:pPr>
      <w:r>
        <w:t xml:space="preserve">8.2 Future work</w:t>
      </w:r>
    </w:p>
    <w:p>
      <w:pPr>
        <w:spacing w:after="120"/>
      </w:pPr>
      <w:r>
        <w:t xml:space="preserve">Several extensions are natural next steps and were scoped out of this cycle only for time reasons:</w:t>
      </w:r>
    </w:p>
    <w:p>
      <w:pPr>
        <w:pStyle w:val="ListParagraph"/>
        <w:numPr>
          <w:ilvl w:val="0"/>
          <w:numId w:val="2"/>
        </w:numPr>
        <w:spacing w:after="60"/>
      </w:pPr>
      <w:r>
        <w:t xml:space="preserve">A SOAR executor plug-in (iptables driver, LDAP disable-account driver) consuming the existing PENDING action queue, gated by a per-target approval workflow so the analyst confirms every real containment step.</w:t>
      </w:r>
    </w:p>
    <w:p>
      <w:pPr>
        <w:pStyle w:val="ListParagraph"/>
        <w:numPr>
          <w:ilvl w:val="0"/>
          <w:numId w:val="2"/>
        </w:numPr>
        <w:spacing w:after="60"/>
      </w:pPr>
      <w:r>
        <w:t xml:space="preserve">Correlation between alerts across rules, populating the existing Incident table so a port scan followed by a brute force followed by a privilege escalation from related actors becomes one incident rather than three separate alerts.</w:t>
      </w:r>
    </w:p>
    <w:p>
      <w:pPr>
        <w:pStyle w:val="ListParagraph"/>
        <w:numPr>
          <w:ilvl w:val="0"/>
          <w:numId w:val="2"/>
        </w:numPr>
        <w:spacing w:after="60"/>
      </w:pPr>
      <w:r>
        <w:t xml:space="preserve">A threat-intelligence integration ingesting IOC feeds (MISP, AlienVault OTX) and adding a sixth detection rule for known-malicious IPs.</w:t>
      </w:r>
    </w:p>
    <w:p>
      <w:pPr>
        <w:pStyle w:val="ListParagraph"/>
        <w:numPr>
          <w:ilvl w:val="0"/>
          <w:numId w:val="2"/>
        </w:numPr>
        <w:spacing w:after="60"/>
      </w:pPr>
      <w:r>
        <w:t xml:space="preserve">A migration to PostgreSQL for deployments needing higher concurrent ingestion — the code already runs against PostgreSQL by changing DATABASE_URL alone, but has not been performance-tested there.</w:t>
      </w:r>
    </w:p>
    <w:p>
      <w:pPr>
        <w:pStyle w:val="ListParagraph"/>
        <w:numPr>
          <w:ilvl w:val="0"/>
          <w:numId w:val="2"/>
        </w:numPr>
        <w:spacing w:after="60"/>
      </w:pPr>
      <w:r>
        <w:t xml:space="preserve">Machine-learning-based anomaly detection as a sixth rule module — the existing dispatcher architecture accepts new rule types with a single registry entry.</w:t>
      </w:r>
    </w:p>
    <w:p>
      <w:pPr>
        <w:pStyle w:val="Heading2"/>
        <w:spacing w:after="120" w:before="240"/>
      </w:pPr>
      <w:r>
        <w:t xml:space="preserve">8.3 Personal reflection</w:t>
      </w:r>
    </w:p>
    <w:p>
      <w:pPr>
        <w:spacing w:after="120"/>
      </w:pPr>
      <w:r>
        <w:t xml:space="preserve">The engineering discipline the project demanded — separating what the software actually does from what its label implies — carried over into every design decision, from refusing to hardcode a Kill Chain phase into a rule file to refusing to display a decorative "connected" badge on an unreachable integration. That discipline is, I believe, more valuable than any specific feature the project ships.</w:t>
      </w:r>
    </w:p>
    <w:p>
      <w:pPr>
        <w:pStyle w:val="Heading1"/>
        <w:pageBreakBefore/>
        <w:spacing w:after="200" w:before="300"/>
      </w:pPr>
      <w:r>
        <w:t xml:space="preserve">References</w:t>
      </w:r>
    </w:p>
    <w:p>
      <w:pPr>
        <w:spacing w:after="120"/>
      </w:pPr>
      <w:r>
        <w:t xml:space="preserve">[1] MITRE Corporation. "MITRE ATT&amp;CK: Enterprise Matrix." https://attack.mitre.org/matrices/enterprise/ (accessed August 2026).</w:t>
      </w:r>
    </w:p>
    <w:p>
      <w:pPr>
        <w:spacing w:after="120"/>
      </w:pPr>
      <w:r>
        <w:t xml:space="preserve">[2] Lockheed Martin. "Cyber Kill Chain." https://www.lockheedmartin.com/en-us/capabilities/cyber/cyber-kill-chain.html</w:t>
      </w:r>
    </w:p>
    <w:p>
      <w:pPr>
        <w:spacing w:after="120"/>
      </w:pPr>
      <w:r>
        <w:t xml:space="preserve">[3] Wazuh Inc. "Wazuh — The Open Source Security Platform." https://wazuh.com/</w:t>
      </w:r>
    </w:p>
    <w:p>
      <w:pPr>
        <w:spacing w:after="120"/>
      </w:pPr>
      <w:r>
        <w:t xml:space="preserve">[4] Sebastián Ramírez. "FastAPI Framework Documentation." https://fastapi.tiangolo.com/</w:t>
      </w:r>
    </w:p>
    <w:p>
      <w:pPr>
        <w:spacing w:after="120"/>
      </w:pPr>
      <w:r>
        <w:t xml:space="preserve">[5] SQLAlchemy Authors. "SQLAlchemy 2.0 Documentation." https://docs.sqlalchemy.org/en/20/</w:t>
      </w:r>
    </w:p>
    <w:p>
      <w:pPr>
        <w:spacing w:after="120"/>
      </w:pPr>
      <w:r>
        <w:t xml:space="preserve">[6] React Team. "React 18 Documentation." https://react.dev/</w:t>
      </w:r>
    </w:p>
    <w:p>
      <w:pPr>
        <w:spacing w:after="120"/>
      </w:pPr>
      <w:r>
        <w:t xml:space="preserve">[7] Evan You. "Vite — Next Generation Frontend Tooling." https://vitejs.dev/</w:t>
      </w:r>
    </w:p>
    <w:p>
      <w:pPr>
        <w:spacing w:after="120"/>
      </w:pPr>
      <w:r>
        <w:t xml:space="preserve">[8] Niels Provos and David Mazières. "A Future-Adaptable Password Scheme." USENIX Annual Technical Conference, 1999. (bcrypt)</w:t>
      </w:r>
    </w:p>
    <w:p>
      <w:pPr>
        <w:spacing w:after="120"/>
      </w:pPr>
      <w:r>
        <w:t xml:space="preserve">[9] IETF RFC 5737. "IPv4 Address Blocks Reserved for Documentation." (198.51.100.0/24 and 203.0.113.0/24 used throughout the test suite.)</w:t>
      </w:r>
    </w:p>
    <w:p>
      <w:pPr>
        <w:spacing w:after="120"/>
      </w:pPr>
      <w:r>
        <w:t xml:space="preserve">[10] IETF RFC 7519. "JSON Web Token (JWT)." 2015.</w:t>
      </w:r>
    </w:p>
    <w:p>
      <w:pPr>
        <w:spacing w:after="120"/>
      </w:pPr>
      <w:r>
        <w:t xml:space="preserve">[11] van Hauser. "THC-Hydra network logon cracker." https://github.com/vanhauser-thc/thc-hydra</w:t>
      </w:r>
    </w:p>
    <w:p>
      <w:pPr>
        <w:spacing w:after="120"/>
      </w:pPr>
      <w:r>
        <w:t xml:space="preserve">[12] Gordon Lyon. "Nmap: The Network Mapper." https://nmap.org/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SIEM &amp; SOAR — Graduation Thesis</dc:title>
  <dc:creator>Lightweight SIEM &amp; SOAR Project</dc:creator>
  <dc:description>Graduation project thesis for the Lightweight SIEM &amp; SOAR platform.</dc:description>
  <cp:lastModifiedBy>Un-named</cp:lastModifiedBy>
  <cp:revision>1</cp:revision>
  <dcterms:created xsi:type="dcterms:W3CDTF">2026-08-25T14:06:25.941Z</dcterms:created>
  <dcterms:modified xsi:type="dcterms:W3CDTF">2026-08-25T14:06:25.956Z</dcterms:modified>
</cp:coreProperties>
</file>

<file path=docProps/custom.xml><?xml version="1.0" encoding="utf-8"?>
<Properties xmlns="http://schemas.openxmlformats.org/officeDocument/2006/custom-properties" xmlns:vt="http://schemas.openxmlformats.org/officeDocument/2006/docPropsVTypes"/>
</file>