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t xml:space="preserve"/>
      </w:r>
    </w:p>
    <w:p>
      <w:pPr>
        <w:spacing w:after="100"/>
        <w:jc w:val="center"/>
      </w:pPr>
      <w:r>
        <w:rPr>
          <w:b/>
          <w:bCs/>
          <w:color w:val="1F4E79"/>
          <w:sz w:val="44"/>
          <w:szCs w:val="44"/>
        </w:rPr>
        <w:t xml:space="preserve">Lightweight SIEM &amp; SOAR</w:t>
      </w:r>
    </w:p>
    <w:p>
      <w:pPr>
        <w:spacing w:after="100"/>
        <w:jc w:val="center"/>
      </w:pPr>
      <w:r>
        <w:rPr>
          <w:sz w:val="24"/>
          <w:szCs w:val="24"/>
        </w:rPr>
        <w:t xml:space="preserve"/>
      </w:r>
    </w:p>
    <w:p>
      <w:pPr>
        <w:spacing w:after="100"/>
        <w:jc w:val="center"/>
      </w:pPr>
      <w:r>
        <w:rPr>
          <w:b/>
          <w:bCs/>
          <w:color w:val="1F4E79"/>
          <w:sz w:val="36"/>
          <w:szCs w:val="36"/>
        </w:rPr>
        <w:t xml:space="preserve">USER MANUAL</w:t>
      </w:r>
    </w:p>
    <w:p>
      <w:pPr>
        <w:spacing w:before="600"/>
      </w:pPr>
      <w:r>
        <w:t xml:space="preserve"/>
      </w:r>
    </w:p>
    <w:p>
      <w:pPr>
        <w:spacing w:after="100"/>
        <w:jc w:val="center"/>
      </w:pPr>
      <w:r>
        <w:rPr>
          <w:i/>
          <w:iCs/>
          <w:sz w:val="22"/>
          <w:szCs w:val="22"/>
        </w:rPr>
        <w:t xml:space="preserve">A guide for security analysts and administrators</w:t>
      </w:r>
    </w:p>
    <w:p>
      <w:pPr>
        <w:spacing w:after="100"/>
        <w:jc w:val="center"/>
      </w:pPr>
      <w:r>
        <w:rPr>
          <w:i/>
          <w:iCs/>
          <w:sz w:val="22"/>
          <w:szCs w:val="22"/>
        </w:rPr>
        <w:t xml:space="preserve">using the Lightweight SIEM &amp; SOAR console</w:t>
      </w:r>
    </w:p>
    <w:p>
      <w:pPr>
        <w:spacing w:before="2200"/>
      </w:pPr>
      <w:r>
        <w:t xml:space="preserve"/>
      </w:r>
    </w:p>
    <w:p>
      <w:pPr>
        <w:spacing w:after="100"/>
        <w:jc w:val="center"/>
      </w:pPr>
      <w:r>
        <w:rPr>
          <w:b/>
          <w:bCs/>
          <w:sz w:val="20"/>
          <w:szCs w:val="20"/>
        </w:rPr>
        <w:t xml:space="preserve">Version 1.0  ·  August 2026</w:t>
      </w:r>
    </w:p>
    <w:p>
      <w:r>
        <w:br w:type="page"/>
      </w:r>
    </w:p>
    <w:p>
      <w:pPr>
        <w:pStyle w:val="Heading1"/>
        <w:spacing w:after="200"/>
        <w:jc w:val="left"/>
      </w:pPr>
      <w:r>
        <w:t xml:space="preserve">Chapter 1 — Getting Started</w:t>
      </w:r>
    </w:p>
    <w:p>
      <w:pPr>
        <w:pStyle w:val="Heading2"/>
        <w:spacing w:after="120" w:before="240"/>
      </w:pPr>
      <w:r>
        <w:t xml:space="preserve">1.1 What is the Lightweight SIEM?</w:t>
      </w:r>
    </w:p>
    <w:p>
      <w:pPr>
        <w:spacing w:after="120"/>
      </w:pPr>
      <w:r>
        <w:t xml:space="preserve">The Lightweight SIEM &amp; SOAR is a security-operations console that watches your servers and endpoints for signs of attack, groups related events into actionable alerts, tags every alert with MITRE ATT&amp;CK and Cyber Kill Chain context, and records an automated containment decision for every significant alert. It is deliberately compact — the entire stack runs under 500 MB of RAM.</w:t>
      </w:r>
    </w:p>
    <w:p>
      <w:pPr>
        <w:pStyle w:val="Heading2"/>
        <w:spacing w:after="120" w:before="240"/>
      </w:pPr>
      <w:r>
        <w:t xml:space="preserve">1.2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500"/>
      </w:tblGrid>
      <w:tr>
        <w:trPr>
          <w:tblHeader/>
        </w:trPr>
        <w:tc>
          <w:tcPr>
            <w:tcW w:type="dxa" w:w="2000"/>
            <w:shd w:fill="1F4E79" w:val="clear"/>
          </w:tcPr>
          <w:p>
            <w:pPr>
              <w:spacing w:after="120"/>
            </w:pPr>
            <w:r>
              <w:rPr>
                <w:b/>
                <w:bCs/>
                <w:color w:val="FFFFFF"/>
              </w:rPr>
              <w:t xml:space="preserve">Role</w:t>
            </w:r>
          </w:p>
        </w:tc>
        <w:tc>
          <w:tcPr>
            <w:tcW w:type="dxa" w:w="4500"/>
            <w:shd w:fill="1F4E79" w:val="clear"/>
          </w:tcPr>
          <w:p>
            <w:pPr>
              <w:spacing w:after="120"/>
            </w:pPr>
            <w:r>
              <w:rPr>
                <w:b/>
                <w:bCs/>
                <w:color w:val="FFFFFF"/>
              </w:rPr>
              <w:t xml:space="preserve">What they can do</w:t>
            </w:r>
          </w:p>
        </w:tc>
        <w:tc>
          <w:tcPr>
            <w:tcW w:type="dxa" w:w="3500"/>
            <w:shd w:fill="1F4E79" w:val="clear"/>
          </w:tcPr>
          <w:p>
            <w:pPr>
              <w:spacing w:after="120"/>
            </w:pPr>
            <w:r>
              <w:rPr>
                <w:b/>
                <w:bCs/>
                <w:color w:val="FFFFFF"/>
              </w:rPr>
              <w:t xml:space="preserve">What they cannot</w:t>
            </w:r>
          </w:p>
        </w:tc>
      </w:tr>
      <w:tr>
        <w:tc>
          <w:tcPr>
            <w:tcW w:type="dxa" w:w="2000"/>
          </w:tcPr>
          <w:p>
            <w:pPr>
              <w:spacing w:after="120"/>
            </w:pPr>
            <w:r>
              <w:t xml:space="preserve">Security Analyst</w:t>
            </w:r>
          </w:p>
        </w:tc>
        <w:tc>
          <w:tcPr>
            <w:tcW w:type="dxa" w:w="4500"/>
          </w:tcPr>
          <w:p>
            <w:pPr>
              <w:spacing w:after="120"/>
            </w:pPr>
            <w:r>
              <w:t xml:space="preserve">Read the dashboard, browse alerts, change alert status (triage), search logs, view SOAR history, run the smoke test.</w:t>
            </w:r>
          </w:p>
        </w:tc>
        <w:tc>
          <w:tcPr>
            <w:tcW w:type="dxa" w:w="3500"/>
          </w:tcPr>
          <w:p>
            <w:pPr>
              <w:spacing w:after="120"/>
            </w:pPr>
            <w:r>
              <w:t xml:space="preserve">Edit detection rules, register agents, delete alerts or logs, run simulation scenarios, purge retention data.</w:t>
            </w:r>
          </w:p>
        </w:tc>
      </w:tr>
      <w:tr>
        <w:tc>
          <w:tcPr>
            <w:tcW w:type="dxa" w:w="2000"/>
          </w:tcPr>
          <w:p>
            <w:pPr>
              <w:spacing w:after="120"/>
            </w:pPr>
            <w:r>
              <w:t xml:space="preserve">Administrator</w:t>
            </w:r>
          </w:p>
        </w:tc>
        <w:tc>
          <w:tcPr>
            <w:tcW w:type="dxa" w:w="4500"/>
          </w:tcPr>
          <w:p>
            <w:pPr>
              <w:spacing w:after="120"/>
            </w:pPr>
            <w:r>
              <w:t xml:space="preserve">Everything a Security Analyst can, PLUS edit rules, register agents, delete alerts/logs, run simulation scenarios, purge data.</w:t>
            </w:r>
          </w:p>
        </w:tc>
        <w:tc>
          <w:tcPr>
            <w:tcW w:type="dxa" w:w="3500"/>
          </w:tcPr>
          <w:p>
            <w:pPr>
              <w:spacing w:after="120"/>
            </w:pPr>
            <w:r>
              <w:t xml:space="preserve">Nothing that ships is exclusive to any higher role.</w:t>
            </w:r>
          </w:p>
        </w:tc>
      </w:tr>
    </w:tbl>
    <w:p>
      <w:pPr>
        <w:pStyle w:val="Heading2"/>
        <w:spacing w:after="120" w:before="240"/>
      </w:pPr>
      <w:r>
        <w:t xml:space="preserve">1.3 First login</w:t>
      </w:r>
    </w:p>
    <w:p>
      <w:pPr>
        <w:pStyle w:val="ListParagraph"/>
        <w:numPr>
          <w:ilvl w:val="0"/>
          <w:numId w:val="2"/>
        </w:numPr>
        <w:spacing w:after="60"/>
      </w:pPr>
      <w:r>
        <w:t xml:space="preserve">Open the console in your browser at http://&lt;backend-host&gt;:5173.</w:t>
      </w:r>
    </w:p>
    <w:p>
      <w:pPr>
        <w:pStyle w:val="ListParagraph"/>
        <w:numPr>
          <w:ilvl w:val="0"/>
          <w:numId w:val="2"/>
        </w:numPr>
        <w:spacing w:after="60"/>
      </w:pPr>
      <w:r>
        <w:t xml:space="preserve">Enter the default administrator credentials: admin / ChangeMe123!</w:t>
      </w:r>
    </w:p>
    <w:p>
      <w:pPr>
        <w:pStyle w:val="ListParagraph"/>
        <w:numPr>
          <w:ilvl w:val="0"/>
          <w:numId w:val="2"/>
        </w:numPr>
        <w:spacing w:after="60"/>
      </w:pPr>
      <w:r>
        <w:t xml:space="preserve">Change the password immediately — see chapter 8.</w:t>
      </w:r>
    </w:p>
    <w:p>
      <w:pPr>
        <w:pBdr>
          <w:left w:val="single" w:color="F0466A" w:sz="16"/>
        </w:pBdr>
        <w:shd w:fill="FDECEC" w:val="clear"/>
        <w:spacing w:after="80" w:before="80"/>
      </w:pPr>
      <w:r>
        <w:rPr>
          <w:b/>
          <w:bCs/>
        </w:rPr>
        <w:t xml:space="preserve">Warning: </w:t>
      </w:r>
      <w:r>
        <w:t xml:space="preserve">The shipped admin / ChangeMe123! defaults are documented in this manual and in the README. They are safe on an isolated lab network only. Change them before exposing the console to any other person or network.</w:t>
      </w:r>
    </w:p>
    <w:p>
      <w:pPr>
        <w:pStyle w:val="Heading1"/>
        <w:pageBreakBefore/>
        <w:spacing w:after="200" w:before="300"/>
      </w:pPr>
      <w:r>
        <w:t xml:space="preserve">Chapter 2 — The Dashboard</w:t>
      </w:r>
    </w:p>
    <w:p>
      <w:pPr>
        <w:spacing w:after="120"/>
      </w:pPr>
      <w:r>
        <w:t xml:space="preserve">The dashboard is the SOC's home page. Every number displayed is computed from real database queries on demand — there are no placeholder values.</w:t>
      </w:r>
    </w:p>
    <w:p>
      <w:pPr>
        <w:pStyle w:val="Heading2"/>
        <w:spacing w:after="120" w:before="240"/>
      </w:pPr>
      <w:r>
        <w:t xml:space="preserve">2.1 KPI cards (top row)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1F4E79" w:val="clear"/>
          </w:tcPr>
          <w:p>
            <w:pPr>
              <w:spacing w:after="120"/>
            </w:pPr>
            <w:r>
              <w:rPr>
                <w:b/>
                <w:bCs/>
                <w:color w:val="FFFFFF"/>
              </w:rPr>
              <w:t xml:space="preserve">Card</w:t>
            </w:r>
          </w:p>
        </w:tc>
        <w:tc>
          <w:tcPr>
            <w:tcW w:type="dxa" w:w="7500"/>
            <w:shd w:fill="1F4E79" w:val="clear"/>
          </w:tcPr>
          <w:p>
            <w:pPr>
              <w:spacing w:after="120"/>
            </w:pPr>
            <w:r>
              <w:rPr>
                <w:b/>
                <w:bCs/>
                <w:color w:val="FFFFFF"/>
              </w:rPr>
              <w:t xml:space="preserve">Meaning</w:t>
            </w:r>
          </w:p>
        </w:tc>
      </w:tr>
      <w:tr>
        <w:tc>
          <w:tcPr>
            <w:tcW w:type="dxa" w:w="2500"/>
          </w:tcPr>
          <w:p>
            <w:pPr>
              <w:spacing w:after="120"/>
            </w:pPr>
            <w:r>
              <w:t xml:space="preserve">Total events</w:t>
            </w:r>
          </w:p>
        </w:tc>
        <w:tc>
          <w:tcPr>
            <w:tcW w:type="dxa" w:w="7500"/>
          </w:tcPr>
          <w:p>
            <w:pPr>
              <w:spacing w:after="120"/>
            </w:pPr>
            <w:r>
              <w:t xml:space="preserve">Every log ever ingested (subtitle: today's count).</w:t>
            </w:r>
          </w:p>
        </w:tc>
      </w:tr>
      <w:tr>
        <w:tc>
          <w:tcPr>
            <w:tcW w:type="dxa" w:w="2500"/>
          </w:tcPr>
          <w:p>
            <w:pPr>
              <w:spacing w:after="120"/>
            </w:pPr>
            <w:r>
              <w:t xml:space="preserve">Active alerts</w:t>
            </w:r>
          </w:p>
        </w:tc>
        <w:tc>
          <w:tcPr>
            <w:tcW w:type="dxa" w:w="7500"/>
          </w:tcPr>
          <w:p>
            <w:pPr>
              <w:spacing w:after="120"/>
            </w:pPr>
            <w:r>
              <w:t xml:space="preserve">Alerts currently in NEW or INVESTIGATING status.</w:t>
            </w:r>
          </w:p>
        </w:tc>
      </w:tr>
      <w:tr>
        <w:tc>
          <w:tcPr>
            <w:tcW w:type="dxa" w:w="2500"/>
          </w:tcPr>
          <w:p>
            <w:pPr>
              <w:spacing w:after="120"/>
            </w:pPr>
            <w:r>
              <w:t xml:space="preserve">Critical alerts</w:t>
            </w:r>
          </w:p>
        </w:tc>
        <w:tc>
          <w:tcPr>
            <w:tcW w:type="dxa" w:w="7500"/>
          </w:tcPr>
          <w:p>
            <w:pPr>
              <w:spacing w:after="120"/>
            </w:pPr>
            <w:r>
              <w:t xml:space="preserve">Active alerts of severity CRITICAL.</w:t>
            </w:r>
          </w:p>
        </w:tc>
      </w:tr>
      <w:tr>
        <w:tc>
          <w:tcPr>
            <w:tcW w:type="dxa" w:w="2500"/>
          </w:tcPr>
          <w:p>
            <w:pPr>
              <w:spacing w:after="120"/>
            </w:pPr>
            <w:r>
              <w:t xml:space="preserve">High alerts</w:t>
            </w:r>
          </w:p>
        </w:tc>
        <w:tc>
          <w:tcPr>
            <w:tcW w:type="dxa" w:w="7500"/>
          </w:tcPr>
          <w:p>
            <w:pPr>
              <w:spacing w:after="120"/>
            </w:pPr>
            <w:r>
              <w:t xml:space="preserve">Active alerts of severity HIGH.</w:t>
            </w:r>
          </w:p>
        </w:tc>
      </w:tr>
      <w:tr>
        <w:tc>
          <w:tcPr>
            <w:tcW w:type="dxa" w:w="2500"/>
          </w:tcPr>
          <w:p>
            <w:pPr>
              <w:spacing w:after="120"/>
            </w:pPr>
            <w:r>
              <w:t xml:space="preserve">Endpoints online</w:t>
            </w:r>
          </w:p>
        </w:tc>
        <w:tc>
          <w:tcPr>
            <w:tcW w:type="dxa" w:w="7500"/>
          </w:tcPr>
          <w:p>
            <w:pPr>
              <w:spacing w:after="120"/>
            </w:pPr>
            <w:r>
              <w:t xml:space="preserve">Currently active agents / total registered.</w:t>
            </w:r>
          </w:p>
        </w:tc>
      </w:tr>
      <w:tr>
        <w:tc>
          <w:tcPr>
            <w:tcW w:type="dxa" w:w="2500"/>
          </w:tcPr>
          <w:p>
            <w:pPr>
              <w:spacing w:after="120"/>
            </w:pPr>
            <w:r>
              <w:t xml:space="preserve">Containment actions</w:t>
            </w:r>
          </w:p>
        </w:tc>
        <w:tc>
          <w:tcPr>
            <w:tcW w:type="dxa" w:w="7500"/>
          </w:tcPr>
          <w:p>
            <w:pPr>
              <w:spacing w:after="120"/>
            </w:pPr>
            <w:r>
              <w:t xml:space="preserve">Total SOAR actions recorded (subtitle: today's).</w:t>
            </w:r>
          </w:p>
        </w:tc>
      </w:tr>
      <w:tr>
        <w:tc>
          <w:tcPr>
            <w:tcW w:type="dxa" w:w="2500"/>
          </w:tcPr>
          <w:p>
            <w:pPr>
              <w:spacing w:after="120"/>
            </w:pPr>
            <w:r>
              <w:t xml:space="preserve">Detection rate</w:t>
            </w:r>
          </w:p>
        </w:tc>
        <w:tc>
          <w:tcPr>
            <w:tcW w:type="dxa" w:w="7500"/>
          </w:tcPr>
          <w:p>
            <w:pPr>
              <w:spacing w:after="120"/>
            </w:pPr>
            <w:r>
              <w:t xml:space="preserve">Share of raised alerts that were NOT dismissed as false-positive. Shows 'n/a' until at least one alert exists — never a misleading 0.</w:t>
            </w:r>
          </w:p>
        </w:tc>
      </w:tr>
      <w:tr>
        <w:tc>
          <w:tcPr>
            <w:tcW w:type="dxa" w:w="2500"/>
          </w:tcPr>
          <w:p>
            <w:pPr>
              <w:spacing w:after="120"/>
            </w:pPr>
            <w:r>
              <w:t xml:space="preserve">Mean detection time</w:t>
            </w:r>
          </w:p>
        </w:tc>
        <w:tc>
          <w:tcPr>
            <w:tcW w:type="dxa" w:w="7500"/>
          </w:tcPr>
          <w:p>
            <w:pPr>
              <w:spacing w:after="120"/>
            </w:pPr>
            <w:r>
              <w:t xml:space="preserve">Average seconds from event timestamp to alert creation. 'n/a' until data exists.</w:t>
            </w:r>
          </w:p>
        </w:tc>
      </w:tr>
    </w:tbl>
    <w:p>
      <w:pPr>
        <w:pStyle w:val="Heading2"/>
        <w:spacing w:after="120" w:before="240"/>
      </w:pPr>
      <w:r>
        <w:t xml:space="preserve">2.2 Live severity distribution</w:t>
      </w:r>
    </w:p>
    <w:p>
      <w:pPr>
        <w:spacing w:after="120"/>
      </w:pPr>
      <w:r>
        <w:t xml:space="preserve">Doughnut chart of active alerts by severity. Every severity is shown even when its count is zero — a chart whose categories flicker between refreshes is unreadable, and 'zero critical alerts' is meaningful information.</w:t>
      </w:r>
    </w:p>
    <w:p>
      <w:pPr>
        <w:pStyle w:val="Heading2"/>
        <w:spacing w:after="120" w:before="240"/>
      </w:pPr>
      <w:r>
        <w:t xml:space="preserve">2.3 Activity timeline</w:t>
      </w:r>
    </w:p>
    <w:p>
      <w:pPr>
        <w:spacing w:after="120"/>
      </w:pPr>
      <w:r>
        <w:t xml:space="preserve">Two overlaid line series — events (blue) and alerts (red) — bucketed per hour over the last 24. Empty hours are emitted explicitly so a real gap in activity shows as a gap, not compressed away.</w:t>
      </w:r>
    </w:p>
    <w:p>
      <w:pPr>
        <w:pStyle w:val="Heading2"/>
        <w:spacing w:after="120" w:before="240"/>
      </w:pPr>
      <w:r>
        <w:t xml:space="preserve">2.4 Top attackers</w:t>
      </w:r>
    </w:p>
    <w:p>
      <w:pPr>
        <w:spacing w:after="120"/>
      </w:pPr>
      <w:r>
        <w:t xml:space="preserve">Top-five source IPs by number of alerts raised. Only IPs that actually appear on alerts are shown; alerts with no source IP (file-integrity, privilege-escalation) are excluded rather than grouped under an empty label.</w:t>
      </w:r>
    </w:p>
    <w:p>
      <w:pPr>
        <w:pStyle w:val="Heading2"/>
        <w:spacing w:after="120" w:before="240"/>
      </w:pPr>
      <w:r>
        <w:t xml:space="preserve">2.5 MITRE ATT&amp;CK &amp; Kill Chain coverage</w:t>
      </w:r>
    </w:p>
    <w:p>
      <w:pPr>
        <w:spacing w:after="120"/>
      </w:pPr>
      <w:r>
        <w:t xml:space="preserve">Table of every rule with its MITRE technique, Kill Chain phase, severity, and the number of alerts it has actually raised. Rules with zero alerts are included — 'covered but never fired' is exactly what a coverage view is for.</w:t>
      </w:r>
    </w:p>
    <w:p>
      <w:pPr>
        <w:pStyle w:val="Heading1"/>
        <w:pageBreakBefore/>
        <w:spacing w:after="200" w:before="300"/>
      </w:pPr>
      <w:r>
        <w:t xml:space="preserve">Chapter 3 — Alerts and Triage</w:t>
      </w:r>
    </w:p>
    <w:p>
      <w:pPr>
        <w:spacing w:after="120"/>
      </w:pPr>
      <w:r>
        <w:t xml:space="preserve">The Alerts page is where the Security Analyst spends most of their time. Every ingested event that matched a rule appears here.</w:t>
      </w:r>
    </w:p>
    <w:p>
      <w:pPr>
        <w:pStyle w:val="Heading2"/>
        <w:spacing w:after="120" w:before="240"/>
      </w:pPr>
      <w:r>
        <w:t xml:space="preserve">3.1 Filtering the queue</w:t>
      </w:r>
    </w:p>
    <w:p>
      <w:pPr>
        <w:spacing w:after="120"/>
      </w:pPr>
      <w:r>
        <w:t xml:space="preserve">Four filters combine (AND): Severity, Status, Source address, and free text in the URL. Filters persist in the URL so a specific view can be bookmarked or shared with a colleague.</w:t>
      </w:r>
    </w:p>
    <w:p>
      <w:pPr>
        <w:pStyle w:val="Heading2"/>
        <w:spacing w:after="120" w:before="240"/>
      </w:pPr>
      <w:r>
        <w:t xml:space="preserve">3.2 Alert row anatomy</w:t>
      </w:r>
    </w:p>
    <w:p>
      <w:pPr>
        <w:pStyle w:val="ListParagraph"/>
        <w:numPr>
          <w:ilvl w:val="0"/>
          <w:numId w:val="3"/>
        </w:numPr>
        <w:spacing w:after="60"/>
      </w:pPr>
      <w:r>
        <w:t xml:space="preserve">Severity — color-coded badge (CRITICAL red, HIGH orange, MEDIUM yellow, LOW grey)</w:t>
      </w:r>
    </w:p>
    <w:p>
      <w:pPr>
        <w:pStyle w:val="ListParagraph"/>
        <w:numPr>
          <w:ilvl w:val="0"/>
          <w:numId w:val="3"/>
        </w:numPr>
        <w:spacing w:after="60"/>
      </w:pPr>
      <w:r>
        <w:t xml:space="preserve">Rule — click to open the investigation view</w:t>
      </w:r>
    </w:p>
    <w:p>
      <w:pPr>
        <w:pStyle w:val="ListParagraph"/>
        <w:numPr>
          <w:ilvl w:val="0"/>
          <w:numId w:val="3"/>
        </w:numPr>
        <w:spacing w:after="60"/>
      </w:pPr>
      <w:r>
        <w:t xml:space="preserve">Description — human-readable, includes the specific values that tripped the rule</w:t>
      </w:r>
    </w:p>
    <w:p>
      <w:pPr>
        <w:pStyle w:val="ListParagraph"/>
        <w:numPr>
          <w:ilvl w:val="0"/>
          <w:numId w:val="3"/>
        </w:numPr>
        <w:spacing w:after="60"/>
      </w:pPr>
      <w:r>
        <w:t xml:space="preserve">Source — the attacker's IP if known</w:t>
      </w:r>
    </w:p>
    <w:p>
      <w:pPr>
        <w:pStyle w:val="ListParagraph"/>
        <w:numPr>
          <w:ilvl w:val="0"/>
          <w:numId w:val="3"/>
        </w:numPr>
        <w:spacing w:after="60"/>
      </w:pPr>
      <w:r>
        <w:t xml:space="preserve">Technique — MITRE ATT&amp;CK ID badge (T1110, T1046, etc.)</w:t>
      </w:r>
    </w:p>
    <w:p>
      <w:pPr>
        <w:pStyle w:val="ListParagraph"/>
        <w:numPr>
          <w:ilvl w:val="0"/>
          <w:numId w:val="3"/>
        </w:numPr>
        <w:spacing w:after="60"/>
      </w:pPr>
      <w:r>
        <w:t xml:space="preserve">Status — NEW / INVESTIGATING / RESOLVED / FALSE POSITIVE</w:t>
      </w:r>
    </w:p>
    <w:p>
      <w:pPr>
        <w:pStyle w:val="ListParagraph"/>
        <w:numPr>
          <w:ilvl w:val="0"/>
          <w:numId w:val="3"/>
        </w:numPr>
        <w:spacing w:after="60"/>
      </w:pPr>
      <w:r>
        <w:t xml:space="preserve">Raised — when the alert first fired (browser-local time)</w:t>
      </w:r>
    </w:p>
    <w:p>
      <w:pPr>
        <w:pStyle w:val="ListParagraph"/>
        <w:numPr>
          <w:ilvl w:val="0"/>
          <w:numId w:val="3"/>
        </w:numPr>
        <w:spacing w:after="60"/>
      </w:pPr>
      <w:r>
        <w:t xml:space="preserve">Delete — administrator only, permanent</w:t>
      </w:r>
    </w:p>
    <w:p>
      <w:pPr>
        <w:pStyle w:val="Heading2"/>
        <w:spacing w:after="120" w:before="240"/>
      </w:pPr>
      <w:r>
        <w:t xml:space="preserve">3.3 Investigating an alert</w:t>
      </w:r>
    </w:p>
    <w:p>
      <w:pPr>
        <w:spacing w:after="120"/>
      </w:pPr>
      <w:r>
        <w:t xml:space="preserve">Click a rule name to open the alert detail. Three sections:</w:t>
      </w:r>
    </w:p>
    <w:p>
      <w:pPr>
        <w:pStyle w:val="ListParagraph"/>
        <w:numPr>
          <w:ilvl w:val="0"/>
          <w:numId w:val="3"/>
        </w:numPr>
        <w:spacing w:after="60"/>
      </w:pPr>
      <w:r>
        <w:rPr>
          <w:b/>
          <w:bCs/>
        </w:rPr>
        <w:t xml:space="preserve">The triggering log — </w:t>
      </w:r>
      <w:r>
        <w:t xml:space="preserve">the specific event that pushed the rule over threshold. Includes the raw log line verbatim, not just our parse of it.</w:t>
      </w:r>
    </w:p>
    <w:p>
      <w:pPr>
        <w:pStyle w:val="ListParagraph"/>
        <w:numPr>
          <w:ilvl w:val="0"/>
          <w:numId w:val="3"/>
        </w:numPr>
        <w:spacing w:after="60"/>
      </w:pPr>
      <w:r>
        <w:rPr>
          <w:b/>
          <w:bCs/>
        </w:rPr>
        <w:t xml:space="preserve">Related evidence — </w:t>
      </w:r>
      <w:r>
        <w:t xml:space="preserve">up to 25 other events from the same source, of the same type, inside the rule's own detection window. This is what lets an analyst confirm or dismiss the alert without writing a database query.</w:t>
      </w:r>
    </w:p>
    <w:p>
      <w:pPr>
        <w:pStyle w:val="ListParagraph"/>
        <w:numPr>
          <w:ilvl w:val="0"/>
          <w:numId w:val="3"/>
        </w:numPr>
        <w:spacing w:after="60"/>
      </w:pPr>
      <w:r>
        <w:rPr>
          <w:b/>
          <w:bCs/>
        </w:rPr>
        <w:t xml:space="preserve">Status history — </w:t>
      </w:r>
      <w:r>
        <w:t xml:space="preserve">audit trail of every triage transition: who changed the status, when, and from what.</w:t>
      </w:r>
    </w:p>
    <w:p>
      <w:pPr>
        <w:pStyle w:val="Heading2"/>
        <w:spacing w:after="120" w:before="240"/>
      </w:pPr>
      <w:r>
        <w:t xml:space="preserve">3.4 Changing status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1F4E79" w:val="clear"/>
          </w:tcPr>
          <w:p>
            <w:pPr>
              <w:spacing w:after="120"/>
            </w:pPr>
            <w:r>
              <w:rPr>
                <w:b/>
                <w:bCs/>
                <w:color w:val="FFFFFF"/>
              </w:rPr>
              <w:t xml:space="preserve">Status</w:t>
            </w:r>
          </w:p>
        </w:tc>
        <w:tc>
          <w:tcPr>
            <w:tcW w:type="dxa" w:w="7500"/>
            <w:shd w:fill="1F4E79" w:val="clear"/>
          </w:tcPr>
          <w:p>
            <w:pPr>
              <w:spacing w:after="120"/>
            </w:pPr>
            <w:r>
              <w:rPr>
                <w:b/>
                <w:bCs/>
                <w:color w:val="FFFFFF"/>
              </w:rPr>
              <w:t xml:space="preserve">When to use it</w:t>
            </w:r>
          </w:p>
        </w:tc>
      </w:tr>
      <w:tr>
        <w:tc>
          <w:tcPr>
            <w:tcW w:type="dxa" w:w="2500"/>
          </w:tcPr>
          <w:p>
            <w:pPr>
              <w:spacing w:after="120"/>
            </w:pPr>
            <w:r>
              <w:t xml:space="preserve">NEW</w:t>
            </w:r>
          </w:p>
        </w:tc>
        <w:tc>
          <w:tcPr>
            <w:tcW w:type="dxa" w:w="7500"/>
          </w:tcPr>
          <w:p>
            <w:pPr>
              <w:spacing w:after="120"/>
            </w:pPr>
            <w:r>
              <w:t xml:space="preserve">The default. An analyst has not looked yet.</w:t>
            </w:r>
          </w:p>
        </w:tc>
      </w:tr>
      <w:tr>
        <w:tc>
          <w:tcPr>
            <w:tcW w:type="dxa" w:w="2500"/>
          </w:tcPr>
          <w:p>
            <w:pPr>
              <w:spacing w:after="120"/>
            </w:pPr>
            <w:r>
              <w:t xml:space="preserve">INVESTIGATING</w:t>
            </w:r>
          </w:p>
        </w:tc>
        <w:tc>
          <w:tcPr>
            <w:tcW w:type="dxa" w:w="7500"/>
          </w:tcPr>
          <w:p>
            <w:pPr>
              <w:spacing w:after="120"/>
            </w:pPr>
            <w:r>
              <w:t xml:space="preserve">You've claimed the alert. Other analysts see the badge and can move on.</w:t>
            </w:r>
          </w:p>
        </w:tc>
      </w:tr>
      <w:tr>
        <w:tc>
          <w:tcPr>
            <w:tcW w:type="dxa" w:w="2500"/>
          </w:tcPr>
          <w:p>
            <w:pPr>
              <w:spacing w:after="120"/>
            </w:pPr>
            <w:r>
              <w:t xml:space="preserve">RESOLVED</w:t>
            </w:r>
          </w:p>
        </w:tc>
        <w:tc>
          <w:tcPr>
            <w:tcW w:type="dxa" w:w="7500"/>
          </w:tcPr>
          <w:p>
            <w:pPr>
              <w:spacing w:after="120"/>
            </w:pPr>
            <w:r>
              <w:t xml:space="preserve">Real incident, contained, no further action needed. Remains visible in the alert queue with the RESOLVED badge.</w:t>
            </w:r>
          </w:p>
        </w:tc>
      </w:tr>
      <w:tr>
        <w:tc>
          <w:tcPr>
            <w:tcW w:type="dxa" w:w="2500"/>
          </w:tcPr>
          <w:p>
            <w:pPr>
              <w:spacing w:after="120"/>
            </w:pPr>
            <w:r>
              <w:t xml:space="preserve">FALSE POSITIVE</w:t>
            </w:r>
          </w:p>
        </w:tc>
        <w:tc>
          <w:tcPr>
            <w:tcW w:type="dxa" w:w="7500"/>
          </w:tcPr>
          <w:p>
            <w:pPr>
              <w:spacing w:after="120"/>
            </w:pPr>
            <w:r>
              <w:t xml:space="preserve">Not a real attack. Excluded from the detection-rate metric.</w:t>
            </w:r>
          </w:p>
        </w:tc>
      </w:tr>
    </w:tbl>
    <w:p>
      <w:pPr>
        <w:pBdr>
          <w:left w:val="single" w:color="F5A524" w:sz="16"/>
        </w:pBdr>
        <w:shd w:fill="FFF4CE" w:val="clear"/>
        <w:spacing w:after="80" w:before="80"/>
      </w:pPr>
      <w:r>
        <w:rPr>
          <w:b/>
          <w:bCs/>
        </w:rPr>
        <w:t xml:space="preserve">Note: </w:t>
      </w:r>
      <w:r>
        <w:t xml:space="preserve">A resolved or false-positive alert is NOT the same as a deleted alert. The row stays for audit and metrics. Only Retention (chapter 7) removes rows permanently.</w:t>
      </w:r>
    </w:p>
    <w:p>
      <w:pPr>
        <w:pStyle w:val="Heading2"/>
        <w:spacing w:after="120" w:before="240"/>
      </w:pPr>
      <w:r>
        <w:t xml:space="preserve">3.5 Deleting an alert</w:t>
      </w:r>
    </w:p>
    <w:p>
      <w:pPr>
        <w:spacing w:after="120"/>
      </w:pPr>
      <w:r>
        <w:t xml:space="preserve">Administrator only. Delete is for retention cleanup, not for triage. Deleting an alert cascades: its status_history rows and its SOAR action rows are also removed. There is no undo.</w:t>
      </w:r>
    </w:p>
    <w:p>
      <w:pPr>
        <w:pStyle w:val="Heading1"/>
        <w:pageBreakBefore/>
        <w:spacing w:after="200" w:before="300"/>
      </w:pPr>
      <w:r>
        <w:t xml:space="preserve">Chapter 4 — Log Search</w:t>
      </w:r>
    </w:p>
    <w:p>
      <w:pPr>
        <w:spacing w:after="120"/>
      </w:pPr>
      <w:r>
        <w:t xml:space="preserve">The Log search page (icon ≡ in the sidebar) is where the analyst pivots from an alert into the surrounding context, or investigates a suspicion for which no alert has yet fired.</w:t>
      </w:r>
    </w:p>
    <w:p>
      <w:pPr>
        <w:pStyle w:val="Heading2"/>
        <w:spacing w:after="120" w:before="240"/>
      </w:pPr>
      <w:r>
        <w:t xml:space="preserve">4.1 Searching</w:t>
      </w:r>
    </w:p>
    <w:p>
      <w:pPr>
        <w:spacing w:after="120"/>
      </w:pPr>
      <w:r>
        <w:t xml:space="preserve">Filters combine on server-side: Text (substring match across raw log, username, hostname, event_type), Severity, Event type, Source address. Text search fires on Enter or when the Search button is clicked — not on every keystroke, so a long free-text query doesn't fire dozens of requests.</w:t>
      </w:r>
    </w:p>
    <w:p>
      <w:pPr>
        <w:pStyle w:val="Heading2"/>
        <w:spacing w:after="120" w:before="240"/>
      </w:pPr>
      <w:r>
        <w:t xml:space="preserve">4.2 Reading a log row</w:t>
      </w:r>
    </w:p>
    <w:p>
      <w:pPr>
        <w:spacing w:after="120"/>
      </w:pPr>
      <w:r>
        <w:t xml:space="preserve">Click any row to expand it. The raw log line is shown verbatim, followed by any parsed extras the normalizer extracted (destination port, command text, changed path, etc.) in a JSON panel.</w:t>
      </w:r>
    </w:p>
    <w:p>
      <w:pPr>
        <w:pStyle w:val="Heading2"/>
        <w:spacing w:after="120" w:before="240"/>
      </w:pPr>
      <w:r>
        <w:t xml:space="preserve">4.3 Live feed</w:t>
      </w:r>
    </w:p>
    <w:p>
      <w:pPr>
        <w:spacing w:after="120"/>
      </w:pPr>
      <w:r>
        <w:t xml:space="preserve">When no filter is applied and you are on page 1, new events flow into the table automatically as they arrive. Applying a filter or moving to page 2+ freezes the current view — the console will not silently rewrite an investigation under the analyst's cursor.</w:t>
      </w:r>
    </w:p>
    <w:p>
      <w:pPr>
        <w:pStyle w:val="Heading2"/>
        <w:spacing w:after="120" w:before="240"/>
      </w:pPr>
      <w:r>
        <w:t xml:space="preserve">4.4 Deleting a log</w:t>
      </w:r>
    </w:p>
    <w:p>
      <w:pPr>
        <w:spacing w:after="120"/>
      </w:pPr>
      <w:r>
        <w:t xml:space="preserve">Administrator only. Alerts that referenced the deleted log lose their log_id link but are NOT themselves deleted — the alert is the SOC's work product; the log is evidence. Losing evidence should not silently disappear the alert that pointed at it.</w:t>
      </w:r>
    </w:p>
    <w:p>
      <w:pPr>
        <w:pStyle w:val="Heading1"/>
        <w:pageBreakBefore/>
        <w:spacing w:after="200" w:before="300"/>
      </w:pPr>
      <w:r>
        <w:t xml:space="preserve">Chapter 5 — Detection Rules</w:t>
      </w:r>
    </w:p>
    <w:p>
      <w:pPr>
        <w:spacing w:after="120"/>
      </w:pPr>
      <w:r>
        <w:t xml:space="preserve">Rules are DATA, not code. Every rule row in the database is read by the detection engine at evaluation time — editing a threshold or a window from the Rules page changes real detection behavior on the very next ingested event. No restart, no redeploy.</w:t>
      </w:r>
    </w:p>
    <w:p>
      <w:pPr>
        <w:pStyle w:val="Heading2"/>
        <w:spacing w:after="120" w:before="240"/>
      </w:pPr>
      <w:r>
        <w:t xml:space="preserve">5.1 Rule fields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pPr>
              <w:spacing w:after="120"/>
            </w:pPr>
            <w:r>
              <w:rPr>
                <w:b/>
                <w:bCs/>
                <w:color w:val="FFFFFF"/>
              </w:rPr>
              <w:t xml:space="preserve">Field</w:t>
            </w:r>
          </w:p>
        </w:tc>
        <w:tc>
          <w:tcPr>
            <w:tcW w:type="dxa" w:w="7000"/>
            <w:shd w:fill="1F4E79" w:val="clear"/>
          </w:tcPr>
          <w:p>
            <w:pPr>
              <w:spacing w:after="120"/>
            </w:pPr>
            <w:r>
              <w:rPr>
                <w:b/>
                <w:bCs/>
                <w:color w:val="FFFFFF"/>
              </w:rPr>
              <w:t xml:space="preserve">Meaning</w:t>
            </w:r>
          </w:p>
        </w:tc>
      </w:tr>
      <w:tr>
        <w:tc>
          <w:tcPr>
            <w:tcW w:type="dxa" w:w="3000"/>
          </w:tcPr>
          <w:p>
            <w:pPr>
              <w:spacing w:after="120"/>
            </w:pPr>
            <w:r>
              <w:t xml:space="preserve">name</w:t>
            </w:r>
          </w:p>
        </w:tc>
        <w:tc>
          <w:tcPr>
            <w:tcW w:type="dxa" w:w="7000"/>
          </w:tcPr>
          <w:p>
            <w:pPr>
              <w:spacing w:after="120"/>
            </w:pPr>
            <w:r>
              <w:t xml:space="preserve">Display name (shown on alerts)</w:t>
            </w:r>
          </w:p>
        </w:tc>
      </w:tr>
      <w:tr>
        <w:tc>
          <w:tcPr>
            <w:tcW w:type="dxa" w:w="3000"/>
          </w:tcPr>
          <w:p>
            <w:pPr>
              <w:spacing w:after="120"/>
            </w:pPr>
            <w:r>
              <w:t xml:space="preserve">description</w:t>
            </w:r>
          </w:p>
        </w:tc>
        <w:tc>
          <w:tcPr>
            <w:tcW w:type="dxa" w:w="7000"/>
          </w:tcPr>
          <w:p>
            <w:pPr>
              <w:spacing w:after="120"/>
            </w:pPr>
            <w:r>
              <w:t xml:space="preserve">Free-text explanation of when this fires</w:t>
            </w:r>
          </w:p>
        </w:tc>
      </w:tr>
      <w:tr>
        <w:tc>
          <w:tcPr>
            <w:tcW w:type="dxa" w:w="3000"/>
          </w:tcPr>
          <w:p>
            <w:pPr>
              <w:spacing w:after="120"/>
            </w:pPr>
            <w:r>
              <w:t xml:space="preserve">rule_type</w:t>
            </w:r>
          </w:p>
        </w:tc>
        <w:tc>
          <w:tcPr>
            <w:tcW w:type="dxa" w:w="7000"/>
          </w:tcPr>
          <w:p>
            <w:pPr>
              <w:spacing w:after="120"/>
            </w:pPr>
            <w:r>
              <w:t xml:space="preserve">Internal dispatch key (brute_force, port_scan, etc.)</w:t>
            </w:r>
          </w:p>
        </w:tc>
      </w:tr>
      <w:tr>
        <w:tc>
          <w:tcPr>
            <w:tcW w:type="dxa" w:w="3000"/>
          </w:tcPr>
          <w:p>
            <w:pPr>
              <w:spacing w:after="120"/>
            </w:pPr>
            <w:r>
              <w:t xml:space="preserve">threshold</w:t>
            </w:r>
          </w:p>
        </w:tc>
        <w:tc>
          <w:tcPr>
            <w:tcW w:type="dxa" w:w="7000"/>
          </w:tcPr>
          <w:p>
            <w:pPr>
              <w:spacing w:after="120"/>
            </w:pPr>
            <w:r>
              <w:t xml:space="preserve">How many events must accumulate</w:t>
            </w:r>
          </w:p>
        </w:tc>
      </w:tr>
      <w:tr>
        <w:tc>
          <w:tcPr>
            <w:tcW w:type="dxa" w:w="3000"/>
          </w:tcPr>
          <w:p>
            <w:pPr>
              <w:spacing w:after="120"/>
            </w:pPr>
            <w:r>
              <w:t xml:space="preserve">time_window_seconds</w:t>
            </w:r>
          </w:p>
        </w:tc>
        <w:tc>
          <w:tcPr>
            <w:tcW w:type="dxa" w:w="7000"/>
          </w:tcPr>
          <w:p>
            <w:pPr>
              <w:spacing w:after="120"/>
            </w:pPr>
            <w:r>
              <w:t xml:space="preserve">Rolling window over which they must accumulate</w:t>
            </w:r>
          </w:p>
        </w:tc>
      </w:tr>
      <w:tr>
        <w:tc>
          <w:tcPr>
            <w:tcW w:type="dxa" w:w="3000"/>
          </w:tcPr>
          <w:p>
            <w:pPr>
              <w:spacing w:after="120"/>
            </w:pPr>
            <w:r>
              <w:t xml:space="preserve">severity</w:t>
            </w:r>
          </w:p>
        </w:tc>
        <w:tc>
          <w:tcPr>
            <w:tcW w:type="dxa" w:w="7000"/>
          </w:tcPr>
          <w:p>
            <w:pPr>
              <w:spacing w:after="120"/>
            </w:pPr>
            <w:r>
              <w:t xml:space="preserve">Alerts inherit this — LOW / MEDIUM / HIGH / CRITICAL</w:t>
            </w:r>
          </w:p>
        </w:tc>
      </w:tr>
      <w:tr>
        <w:tc>
          <w:tcPr>
            <w:tcW w:type="dxa" w:w="3000"/>
          </w:tcPr>
          <w:p>
            <w:pPr>
              <w:spacing w:after="120"/>
            </w:pPr>
            <w:r>
              <w:t xml:space="preserve">mitre_id</w:t>
            </w:r>
          </w:p>
        </w:tc>
        <w:tc>
          <w:tcPr>
            <w:tcW w:type="dxa" w:w="7000"/>
          </w:tcPr>
          <w:p>
            <w:pPr>
              <w:spacing w:after="120"/>
            </w:pPr>
            <w:r>
              <w:t xml:space="preserve">T-number displayed on every alert this rule raises</w:t>
            </w:r>
          </w:p>
        </w:tc>
      </w:tr>
      <w:tr>
        <w:tc>
          <w:tcPr>
            <w:tcW w:type="dxa" w:w="3000"/>
          </w:tcPr>
          <w:p>
            <w:pPr>
              <w:spacing w:after="120"/>
            </w:pPr>
            <w:r>
              <w:t xml:space="preserve">kill_chain_phase</w:t>
            </w:r>
          </w:p>
        </w:tc>
        <w:tc>
          <w:tcPr>
            <w:tcW w:type="dxa" w:w="7000"/>
          </w:tcPr>
          <w:p>
            <w:pPr>
              <w:spacing w:after="120"/>
            </w:pPr>
            <w:r>
              <w:t xml:space="preserve">Kill Chain phase displayed alongside</w:t>
            </w:r>
          </w:p>
        </w:tc>
      </w:tr>
      <w:tr>
        <w:tc>
          <w:tcPr>
            <w:tcW w:type="dxa" w:w="3000"/>
          </w:tcPr>
          <w:p>
            <w:pPr>
              <w:spacing w:after="120"/>
            </w:pPr>
            <w:r>
              <w:t xml:space="preserve">parameters (JSON)</w:t>
            </w:r>
          </w:p>
        </w:tc>
        <w:tc>
          <w:tcPr>
            <w:tcW w:type="dxa" w:w="7000"/>
          </w:tcPr>
          <w:p>
            <w:pPr>
              <w:spacing w:after="120"/>
            </w:pPr>
            <w:r>
              <w:t xml:space="preserve">Rule-specific settings: watched paths for file_integrity, suspicious command patterns for privilege_escalation</w:t>
            </w:r>
          </w:p>
        </w:tc>
      </w:tr>
      <w:tr>
        <w:tc>
          <w:tcPr>
            <w:tcW w:type="dxa" w:w="3000"/>
          </w:tcPr>
          <w:p>
            <w:pPr>
              <w:spacing w:after="120"/>
            </w:pPr>
            <w:r>
              <w:t xml:space="preserve">enabled</w:t>
            </w:r>
          </w:p>
        </w:tc>
        <w:tc>
          <w:tcPr>
            <w:tcW w:type="dxa" w:w="7000"/>
          </w:tcPr>
          <w:p>
            <w:pPr>
              <w:spacing w:after="120"/>
            </w:pPr>
            <w:r>
              <w:t xml:space="preserve">Toggle without deleting the row</w:t>
            </w:r>
          </w:p>
        </w:tc>
      </w:tr>
    </w:tbl>
    <w:p>
      <w:pPr>
        <w:pStyle w:val="Heading2"/>
        <w:spacing w:after="120" w:before="240"/>
      </w:pPr>
      <w:r>
        <w:t xml:space="preserve">5.2 Editing a rule (administrator only)</w:t>
      </w:r>
    </w:p>
    <w:p>
      <w:pPr>
        <w:pStyle w:val="ListParagraph"/>
        <w:numPr>
          <w:ilvl w:val="0"/>
          <w:numId w:val="2"/>
        </w:numPr>
        <w:spacing w:after="60"/>
      </w:pPr>
      <w:r>
        <w:t xml:space="preserve">Open the Rules page in the sidebar.</w:t>
      </w:r>
    </w:p>
    <w:p>
      <w:pPr>
        <w:pStyle w:val="ListParagraph"/>
        <w:numPr>
          <w:ilvl w:val="0"/>
          <w:numId w:val="2"/>
        </w:numPr>
        <w:spacing w:after="60"/>
      </w:pPr>
      <w:r>
        <w:t xml:space="preserve">Find the rule you want to change.</w:t>
      </w:r>
    </w:p>
    <w:p>
      <w:pPr>
        <w:pStyle w:val="ListParagraph"/>
        <w:numPr>
          <w:ilvl w:val="0"/>
          <w:numId w:val="2"/>
        </w:numPr>
        <w:spacing w:after="60"/>
      </w:pPr>
      <w:r>
        <w:t xml:space="preserve">Edit threshold and/or window inline.</w:t>
      </w:r>
    </w:p>
    <w:p>
      <w:pPr>
        <w:pStyle w:val="ListParagraph"/>
        <w:numPr>
          <w:ilvl w:val="0"/>
          <w:numId w:val="2"/>
        </w:numPr>
        <w:spacing w:after="60"/>
      </w:pPr>
      <w:r>
        <w:t xml:space="preserve">Click Save.</w:t>
      </w:r>
    </w:p>
    <w:p>
      <w:pPr>
        <w:spacing w:after="120"/>
      </w:pPr>
      <w:r>
        <w:t xml:space="preserve">The change takes effect on the very next ingested event. Existing open alerts from that rule are unaffected — they retain the values that were current when they fired.</w:t>
      </w:r>
    </w:p>
    <w:p>
      <w:pPr>
        <w:pBdr>
          <w:left w:val="single" w:color="F5A524" w:sz="16"/>
        </w:pBdr>
        <w:shd w:fill="FFF4CE" w:val="clear"/>
        <w:spacing w:after="80" w:before="80"/>
      </w:pPr>
      <w:r>
        <w:rPr>
          <w:b/>
          <w:bCs/>
        </w:rPr>
        <w:t xml:space="preserve">Note: </w:t>
      </w:r>
      <w:r>
        <w:t xml:space="preserve">Thresholds are bounded 1–100,000 and windows 1–86,400 seconds server-side. A threshold of 0 would fire on the first event ever ingested; a window of 0 makes the rolling window degenerate. Both are user-facing mistakes worth rejecting at the API boundary.</w:t>
      </w:r>
    </w:p>
    <w:p>
      <w:pPr>
        <w:pStyle w:val="Heading2"/>
        <w:spacing w:after="120" w:before="240"/>
      </w:pPr>
      <w:r>
        <w:t xml:space="preserve">5.3 The five shipped rules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3000"/>
        <w:gridCol w:w="2000"/>
      </w:tblGrid>
      <w:tr>
        <w:trPr>
          <w:tblHeader/>
        </w:trPr>
        <w:tc>
          <w:tcPr>
            <w:tcW w:type="dxa" w:w="3800"/>
            <w:shd w:fill="1F4E79" w:val="clear"/>
          </w:tcPr>
          <w:p>
            <w:pPr>
              <w:spacing w:after="120"/>
            </w:pPr>
            <w:r>
              <w:rPr>
                <w:b/>
                <w:bCs/>
                <w:color w:val="FFFFFF"/>
              </w:rPr>
              <w:t xml:space="preserve">Rule</w:t>
            </w:r>
          </w:p>
        </w:tc>
        <w:tc>
          <w:tcPr>
            <w:tcW w:type="dxa" w:w="1200"/>
            <w:shd w:fill="1F4E79" w:val="clear"/>
          </w:tcPr>
          <w:p>
            <w:pPr>
              <w:spacing w:after="120"/>
            </w:pPr>
            <w:r>
              <w:rPr>
                <w:b/>
                <w:bCs/>
                <w:color w:val="FFFFFF"/>
              </w:rPr>
              <w:t xml:space="preserve">MITRE</w:t>
            </w:r>
          </w:p>
        </w:tc>
        <w:tc>
          <w:tcPr>
            <w:tcW w:type="dxa" w:w="3000"/>
            <w:shd w:fill="1F4E79" w:val="clear"/>
          </w:tcPr>
          <w:p>
            <w:pPr>
              <w:spacing w:after="120"/>
            </w:pPr>
            <w:r>
              <w:rPr>
                <w:b/>
                <w:bCs/>
                <w:color w:val="FFFFFF"/>
              </w:rPr>
              <w:t xml:space="preserve">Default threshold</w:t>
            </w:r>
          </w:p>
        </w:tc>
        <w:tc>
          <w:tcPr>
            <w:tcW w:type="dxa" w:w="2000"/>
            <w:shd w:fill="1F4E79" w:val="clear"/>
          </w:tcPr>
          <w:p>
            <w:pPr>
              <w:spacing w:after="120"/>
            </w:pPr>
            <w:r>
              <w:rPr>
                <w:b/>
                <w:bCs/>
                <w:color w:val="FFFFFF"/>
              </w:rPr>
              <w:t xml:space="preserve">Severity</w:t>
            </w:r>
          </w:p>
        </w:tc>
      </w:tr>
      <w:tr>
        <w:tc>
          <w:tcPr>
            <w:tcW w:type="dxa" w:w="3800"/>
          </w:tcPr>
          <w:p>
            <w:pPr>
              <w:spacing w:after="120"/>
            </w:pPr>
            <w:r>
              <w:t xml:space="preserve">Brute Force Authentication</w:t>
            </w:r>
          </w:p>
        </w:tc>
        <w:tc>
          <w:tcPr>
            <w:tcW w:type="dxa" w:w="1200"/>
          </w:tcPr>
          <w:p>
            <w:pPr>
              <w:spacing w:after="120"/>
            </w:pPr>
            <w:r>
              <w:t xml:space="preserve">T1110</w:t>
            </w:r>
          </w:p>
        </w:tc>
        <w:tc>
          <w:tcPr>
            <w:tcW w:type="dxa" w:w="3000"/>
          </w:tcPr>
          <w:p>
            <w:pPr>
              <w:spacing w:after="120"/>
            </w:pPr>
            <w:r>
              <w:t xml:space="preserve">5 failed logins / 120 s</w:t>
            </w:r>
          </w:p>
        </w:tc>
        <w:tc>
          <w:tcPr>
            <w:tcW w:type="dxa" w:w="2000"/>
          </w:tcPr>
          <w:p>
            <w:pPr>
              <w:spacing w:after="120"/>
            </w:pPr>
            <w:r>
              <w:t xml:space="preserve">HIGH</w:t>
            </w:r>
          </w:p>
        </w:tc>
      </w:tr>
      <w:tr>
        <w:tc>
          <w:tcPr>
            <w:tcW w:type="dxa" w:w="3800"/>
          </w:tcPr>
          <w:p>
            <w:pPr>
              <w:spacing w:after="120"/>
            </w:pPr>
            <w:r>
              <w:t xml:space="preserve">Port Scanning</w:t>
            </w:r>
          </w:p>
        </w:tc>
        <w:tc>
          <w:tcPr>
            <w:tcW w:type="dxa" w:w="1200"/>
          </w:tcPr>
          <w:p>
            <w:pPr>
              <w:spacing w:after="120"/>
            </w:pPr>
            <w:r>
              <w:t xml:space="preserve">T1046</w:t>
            </w:r>
          </w:p>
        </w:tc>
        <w:tc>
          <w:tcPr>
            <w:tcW w:type="dxa" w:w="3000"/>
          </w:tcPr>
          <w:p>
            <w:pPr>
              <w:spacing w:after="120"/>
            </w:pPr>
            <w:r>
              <w:t xml:space="preserve">10 distinct ports / 60 s</w:t>
            </w:r>
          </w:p>
        </w:tc>
        <w:tc>
          <w:tcPr>
            <w:tcW w:type="dxa" w:w="2000"/>
          </w:tcPr>
          <w:p>
            <w:pPr>
              <w:spacing w:after="120"/>
            </w:pPr>
            <w:r>
              <w:t xml:space="preserve">HIGH</w:t>
            </w:r>
          </w:p>
        </w:tc>
      </w:tr>
      <w:tr>
        <w:tc>
          <w:tcPr>
            <w:tcW w:type="dxa" w:w="3800"/>
          </w:tcPr>
          <w:p>
            <w:pPr>
              <w:spacing w:after="120"/>
            </w:pPr>
            <w:r>
              <w:t xml:space="preserve">Login After Repeated Failures</w:t>
            </w:r>
          </w:p>
        </w:tc>
        <w:tc>
          <w:tcPr>
            <w:tcW w:type="dxa" w:w="1200"/>
          </w:tcPr>
          <w:p>
            <w:pPr>
              <w:spacing w:after="120"/>
            </w:pPr>
            <w:r>
              <w:t xml:space="preserve">T1078</w:t>
            </w:r>
          </w:p>
        </w:tc>
        <w:tc>
          <w:tcPr>
            <w:tcW w:type="dxa" w:w="3000"/>
          </w:tcPr>
          <w:p>
            <w:pPr>
              <w:spacing w:after="120"/>
            </w:pPr>
            <w:r>
              <w:t xml:space="preserve">5 fails / 300 s + success</w:t>
            </w:r>
          </w:p>
        </w:tc>
        <w:tc>
          <w:tcPr>
            <w:tcW w:type="dxa" w:w="2000"/>
          </w:tcPr>
          <w:p>
            <w:pPr>
              <w:spacing w:after="120"/>
            </w:pPr>
            <w:r>
              <w:t xml:space="preserve">CRITICAL</w:t>
            </w:r>
          </w:p>
        </w:tc>
      </w:tr>
      <w:tr>
        <w:tc>
          <w:tcPr>
            <w:tcW w:type="dxa" w:w="3800"/>
          </w:tcPr>
          <w:p>
            <w:pPr>
              <w:spacing w:after="120"/>
            </w:pPr>
            <w:r>
              <w:t xml:space="preserve">Critical File Integrity Change</w:t>
            </w:r>
          </w:p>
        </w:tc>
        <w:tc>
          <w:tcPr>
            <w:tcW w:type="dxa" w:w="1200"/>
          </w:tcPr>
          <w:p>
            <w:pPr>
              <w:spacing w:after="120"/>
            </w:pPr>
            <w:r>
              <w:t xml:space="preserve">T1098</w:t>
            </w:r>
          </w:p>
        </w:tc>
        <w:tc>
          <w:tcPr>
            <w:tcW w:type="dxa" w:w="3000"/>
          </w:tcPr>
          <w:p>
            <w:pPr>
              <w:spacing w:after="120"/>
            </w:pPr>
            <w:r>
              <w:t xml:space="preserve">1 (any modification)</w:t>
            </w:r>
          </w:p>
        </w:tc>
        <w:tc>
          <w:tcPr>
            <w:tcW w:type="dxa" w:w="2000"/>
          </w:tcPr>
          <w:p>
            <w:pPr>
              <w:spacing w:after="120"/>
            </w:pPr>
            <w:r>
              <w:t xml:space="preserve">CRITICAL</w:t>
            </w:r>
          </w:p>
        </w:tc>
      </w:tr>
      <w:tr>
        <w:tc>
          <w:tcPr>
            <w:tcW w:type="dxa" w:w="3800"/>
          </w:tcPr>
          <w:p>
            <w:pPr>
              <w:spacing w:after="120"/>
            </w:pPr>
            <w:r>
              <w:t xml:space="preserve">Privilege Escalation</w:t>
            </w:r>
          </w:p>
        </w:tc>
        <w:tc>
          <w:tcPr>
            <w:tcW w:type="dxa" w:w="1200"/>
          </w:tcPr>
          <w:p>
            <w:pPr>
              <w:spacing w:after="120"/>
            </w:pPr>
            <w:r>
              <w:t xml:space="preserve">T1548</w:t>
            </w:r>
          </w:p>
        </w:tc>
        <w:tc>
          <w:tcPr>
            <w:tcW w:type="dxa" w:w="3000"/>
          </w:tcPr>
          <w:p>
            <w:pPr>
              <w:spacing w:after="120"/>
            </w:pPr>
            <w:r>
              <w:t xml:space="preserve">1 suspicious sudo</w:t>
            </w:r>
          </w:p>
        </w:tc>
        <w:tc>
          <w:tcPr>
            <w:tcW w:type="dxa" w:w="2000"/>
          </w:tcPr>
          <w:p>
            <w:pPr>
              <w:spacing w:after="120"/>
            </w:pPr>
            <w:r>
              <w:t xml:space="preserve">CRITICAL</w:t>
            </w:r>
          </w:p>
        </w:tc>
      </w:tr>
    </w:tbl>
    <w:p>
      <w:pPr>
        <w:pStyle w:val="Heading1"/>
        <w:pageBreakBefore/>
        <w:spacing w:after="200" w:before="300"/>
      </w:pPr>
      <w:r>
        <w:t xml:space="preserve">Chapter 6 — Automated Response</w:t>
      </w:r>
    </w:p>
    <w:p>
      <w:pPr>
        <w:spacing w:after="120"/>
      </w:pPr>
      <w:r>
        <w:t xml:space="preserve">The Response page is a read-only history of every containment action the SOAR engine decided on. Actions are ordered newest-first.</w:t>
      </w:r>
    </w:p>
    <w:p>
      <w:pPr>
        <w:pStyle w:val="Heading2"/>
        <w:spacing w:after="120" w:before="240"/>
      </w:pPr>
      <w:r>
        <w:t xml:space="preserve">6.1 Reading the mode indicator</w:t>
      </w:r>
    </w:p>
    <w:p>
      <w:pPr>
        <w:spacing w:after="120"/>
      </w:pPr>
      <w:r>
        <w:t xml:space="preserve">At the top of the page, the mode is stated plainly:</w:t>
      </w:r>
    </w:p>
    <w:p>
      <w:pPr>
        <w:pStyle w:val="ListParagraph"/>
        <w:numPr>
          <w:ilvl w:val="0"/>
          <w:numId w:val="3"/>
        </w:numPr>
        <w:spacing w:after="60"/>
      </w:pPr>
      <w:r>
        <w:rPr>
          <w:b/>
          <w:bCs/>
        </w:rPr>
        <w:t xml:space="preserve">Record only — </w:t>
      </w:r>
      <w:r>
        <w:t xml:space="preserve">this build never runs a firewall command or disables an account. Actions are decided, recorded, and shown so an analyst sees what would have been done.</w:t>
      </w:r>
    </w:p>
    <w:p>
      <w:pPr>
        <w:pStyle w:val="ListParagraph"/>
        <w:numPr>
          <w:ilvl w:val="0"/>
          <w:numId w:val="3"/>
        </w:numPr>
        <w:spacing w:after="60"/>
      </w:pPr>
      <w:r>
        <w:rPr>
          <w:b/>
          <w:bCs/>
        </w:rPr>
        <w:t xml:space="preserve">Execute requested — </w:t>
      </w:r>
      <w:r>
        <w:t xml:space="preserve">actions are marked PENDING for an external executor to consume. Set only in deployments that have wired up a real executor. The shipped codebase never sets this.</w:t>
      </w:r>
    </w:p>
    <w:p>
      <w:pPr>
        <w:pStyle w:val="Heading2"/>
        <w:spacing w:after="120" w:before="240"/>
      </w:pPr>
      <w:r>
        <w:t xml:space="preserve">6.2 Action 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pPr>
              <w:spacing w:after="120"/>
            </w:pPr>
            <w:r>
              <w:rPr>
                <w:b/>
                <w:bCs/>
                <w:color w:val="FFFFFF"/>
              </w:rPr>
              <w:t xml:space="preserve">Type</w:t>
            </w:r>
          </w:p>
        </w:tc>
        <w:tc>
          <w:tcPr>
            <w:tcW w:type="dxa" w:w="7000"/>
            <w:shd w:fill="1F4E79" w:val="clear"/>
          </w:tcPr>
          <w:p>
            <w:pPr>
              <w:spacing w:after="120"/>
            </w:pPr>
            <w:r>
              <w:rPr>
                <w:b/>
                <w:bCs/>
                <w:color w:val="FFFFFF"/>
              </w:rPr>
              <w:t xml:space="preserve">Effect (when a real executor is wired)</w:t>
            </w:r>
          </w:p>
        </w:tc>
      </w:tr>
      <w:tr>
        <w:tc>
          <w:tcPr>
            <w:tcW w:type="dxa" w:w="3000"/>
          </w:tcPr>
          <w:p>
            <w:pPr>
              <w:spacing w:after="120"/>
            </w:pPr>
            <w:r>
              <w:t xml:space="preserve">BLOCK_IP</w:t>
            </w:r>
          </w:p>
        </w:tc>
        <w:tc>
          <w:tcPr>
            <w:tcW w:type="dxa" w:w="7000"/>
          </w:tcPr>
          <w:p>
            <w:pPr>
              <w:spacing w:after="120"/>
            </w:pPr>
            <w:r>
              <w:t xml:space="preserve">Drop the source IP at the perimeter firewall</w:t>
            </w:r>
          </w:p>
        </w:tc>
      </w:tr>
      <w:tr>
        <w:tc>
          <w:tcPr>
            <w:tcW w:type="dxa" w:w="3000"/>
          </w:tcPr>
          <w:p>
            <w:pPr>
              <w:spacing w:after="120"/>
            </w:pPr>
            <w:r>
              <w:t xml:space="preserve">ISOLATE_ENDPOINT</w:t>
            </w:r>
          </w:p>
        </w:tc>
        <w:tc>
          <w:tcPr>
            <w:tcW w:type="dxa" w:w="7000"/>
          </w:tcPr>
          <w:p>
            <w:pPr>
              <w:spacing w:after="120"/>
            </w:pPr>
            <w:r>
              <w:t xml:space="preserve">Quarantine the host from the network</w:t>
            </w:r>
          </w:p>
        </w:tc>
      </w:tr>
      <w:tr>
        <w:tc>
          <w:tcPr>
            <w:tcW w:type="dxa" w:w="3000"/>
          </w:tcPr>
          <w:p>
            <w:pPr>
              <w:spacing w:after="120"/>
            </w:pPr>
            <w:r>
              <w:t xml:space="preserve">DISABLE_ACCOUNT</w:t>
            </w:r>
          </w:p>
        </w:tc>
        <w:tc>
          <w:tcPr>
            <w:tcW w:type="dxa" w:w="7000"/>
          </w:tcPr>
          <w:p>
            <w:pPr>
              <w:spacing w:after="120"/>
            </w:pPr>
            <w:r>
              <w:t xml:space="preserve">Suspend the user pending investigation</w:t>
            </w:r>
          </w:p>
        </w:tc>
      </w:tr>
      <w:tr>
        <w:tc>
          <w:tcPr>
            <w:tcW w:type="dxa" w:w="3000"/>
          </w:tcPr>
          <w:p>
            <w:pPr>
              <w:spacing w:after="120"/>
            </w:pPr>
            <w:r>
              <w:t xml:space="preserve">NOTIFY_ANALYST</w:t>
            </w:r>
          </w:p>
        </w:tc>
        <w:tc>
          <w:tcPr>
            <w:tcW w:type="dxa" w:w="7000"/>
          </w:tcPr>
          <w:p>
            <w:pPr>
              <w:spacing w:after="120"/>
            </w:pPr>
            <w:r>
              <w:t xml:space="preserve">Notify the on-duty SOC analyst (LOW/MEDIUM alerts)</w:t>
            </w:r>
          </w:p>
        </w:tc>
      </w:tr>
    </w:tbl>
    <w:p>
      <w:pPr>
        <w:pStyle w:val="Heading2"/>
        <w:spacing w:after="120" w:before="240"/>
      </w:pPr>
      <w:r>
        <w:t xml:space="preserve">6.3 Action status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1F4E79" w:val="clear"/>
          </w:tcPr>
          <w:p>
            <w:pPr>
              <w:spacing w:after="120"/>
            </w:pPr>
            <w:r>
              <w:rPr>
                <w:b/>
                <w:bCs/>
                <w:color w:val="FFFFFF"/>
              </w:rPr>
              <w:t xml:space="preserve">Status</w:t>
            </w:r>
          </w:p>
        </w:tc>
        <w:tc>
          <w:tcPr>
            <w:tcW w:type="dxa" w:w="8000"/>
            <w:shd w:fill="1F4E79" w:val="clear"/>
          </w:tcPr>
          <w:p>
            <w:pPr>
              <w:spacing w:after="120"/>
            </w:pPr>
            <w:r>
              <w:rPr>
                <w:b/>
                <w:bCs/>
                <w:color w:val="FFFFFF"/>
              </w:rPr>
              <w:t xml:space="preserve">Meaning</w:t>
            </w:r>
          </w:p>
        </w:tc>
      </w:tr>
      <w:tr>
        <w:tc>
          <w:tcPr>
            <w:tcW w:type="dxa" w:w="2000"/>
          </w:tcPr>
          <w:p>
            <w:pPr>
              <w:spacing w:after="120"/>
            </w:pPr>
            <w:r>
              <w:t xml:space="preserve">SIMULATED</w:t>
            </w:r>
          </w:p>
        </w:tc>
        <w:tc>
          <w:tcPr>
            <w:tcW w:type="dxa" w:w="8000"/>
          </w:tcPr>
          <w:p>
            <w:pPr>
              <w:spacing w:after="120"/>
            </w:pPr>
            <w:r>
              <w:t xml:space="preserve">Recorded only. This is the default in a shipped build.</w:t>
            </w:r>
          </w:p>
        </w:tc>
      </w:tr>
      <w:tr>
        <w:tc>
          <w:tcPr>
            <w:tcW w:type="dxa" w:w="2000"/>
          </w:tcPr>
          <w:p>
            <w:pPr>
              <w:spacing w:after="120"/>
            </w:pPr>
            <w:r>
              <w:t xml:space="preserve">PENDING</w:t>
            </w:r>
          </w:p>
        </w:tc>
        <w:tc>
          <w:tcPr>
            <w:tcW w:type="dxa" w:w="8000"/>
          </w:tcPr>
          <w:p>
            <w:pPr>
              <w:spacing w:after="120"/>
            </w:pPr>
            <w:r>
              <w:t xml:space="preserve">Marked for execution, waiting for an executor to consume it.</w:t>
            </w:r>
          </w:p>
        </w:tc>
      </w:tr>
      <w:tr>
        <w:tc>
          <w:tcPr>
            <w:tcW w:type="dxa" w:w="2000"/>
          </w:tcPr>
          <w:p>
            <w:pPr>
              <w:spacing w:after="120"/>
            </w:pPr>
            <w:r>
              <w:t xml:space="preserve">EXECUTED</w:t>
            </w:r>
          </w:p>
        </w:tc>
        <w:tc>
          <w:tcPr>
            <w:tcW w:type="dxa" w:w="8000"/>
          </w:tcPr>
          <w:p>
            <w:pPr>
              <w:spacing w:after="120"/>
            </w:pPr>
            <w:r>
              <w:t xml:space="preserve">An executor confirmed the action ran successfully.</w:t>
            </w:r>
          </w:p>
        </w:tc>
      </w:tr>
      <w:tr>
        <w:tc>
          <w:tcPr>
            <w:tcW w:type="dxa" w:w="2000"/>
          </w:tcPr>
          <w:p>
            <w:pPr>
              <w:spacing w:after="120"/>
            </w:pPr>
            <w:r>
              <w:t xml:space="preserve">FAILED</w:t>
            </w:r>
          </w:p>
        </w:tc>
        <w:tc>
          <w:tcPr>
            <w:tcW w:type="dxa" w:w="8000"/>
          </w:tcPr>
          <w:p>
            <w:pPr>
              <w:spacing w:after="120"/>
            </w:pPr>
            <w:r>
              <w:t xml:space="preserve">An executor tried and reported a failure.</w:t>
            </w:r>
          </w:p>
        </w:tc>
      </w:tr>
    </w:tbl>
    <w:p>
      <w:pPr>
        <w:pStyle w:val="Heading1"/>
        <w:pageBreakBefore/>
        <w:spacing w:after="200" w:before="300"/>
      </w:pPr>
      <w:r>
        <w:t xml:space="preserve">Chapter 7 — Retention (Memory Cleanup)</w:t>
      </w:r>
    </w:p>
    <w:p>
      <w:pPr>
        <w:spacing w:after="120"/>
      </w:pPr>
      <w:r>
        <w:t xml:space="preserve">Retention is where an administrator removes old data to keep the database small. The page is administrator-only; the safety guards are strict.</w:t>
      </w:r>
    </w:p>
    <w:p>
      <w:pPr>
        <w:pStyle w:val="Heading2"/>
        <w:spacing w:after="120" w:before="240"/>
      </w:pPr>
      <w:r>
        <w:t xml:space="preserve">7.1 The three defaults</w:t>
      </w:r>
    </w:p>
    <w:p>
      <w:pPr>
        <w:spacing w:after="120"/>
      </w:pPr>
      <w:r>
        <w:t xml:space="preserve">At the top of the page: the values from .env for reference. These are not applied automatically — retention runs on demand only.</w:t>
      </w:r>
    </w:p>
    <w:p>
      <w:pPr>
        <w:pStyle w:val="Heading2"/>
        <w:spacing w:after="120" w:before="240"/>
      </w:pPr>
      <w:r>
        <w:t xml:space="preserve">7.2 Configuring a purge</w:t>
      </w:r>
    </w:p>
    <w:p>
      <w:pPr>
        <w:pStyle w:val="ListParagraph"/>
        <w:numPr>
          <w:ilvl w:val="0"/>
          <w:numId w:val="2"/>
        </w:numPr>
        <w:spacing w:after="60"/>
      </w:pPr>
      <w:r>
        <w:t xml:space="preserve">Enter how many days of alerts you want to keep (leave blank to skip alerts).</w:t>
      </w:r>
    </w:p>
    <w:p>
      <w:pPr>
        <w:pStyle w:val="ListParagraph"/>
        <w:numPr>
          <w:ilvl w:val="0"/>
          <w:numId w:val="2"/>
        </w:numPr>
        <w:spacing w:after="60"/>
      </w:pPr>
      <w:r>
        <w:t xml:space="preserve">Enter how many days of logs you want to keep (leave blank to skip logs).</w:t>
      </w:r>
    </w:p>
    <w:p>
      <w:pPr>
        <w:pStyle w:val="ListParagraph"/>
        <w:numPr>
          <w:ilvl w:val="0"/>
          <w:numId w:val="2"/>
        </w:numPr>
        <w:spacing w:after="60"/>
      </w:pPr>
      <w:r>
        <w:t xml:space="preserve">Decide whether triaged-only should be enforced (default: yes).</w:t>
      </w:r>
    </w:p>
    <w:p>
      <w:pPr>
        <w:pStyle w:val="ListParagraph"/>
        <w:numPr>
          <w:ilvl w:val="0"/>
          <w:numId w:val="2"/>
        </w:numPr>
        <w:spacing w:after="60"/>
      </w:pPr>
      <w:r>
        <w:t xml:space="preserve">Decide the minimum severity to preserve (default: HIGH).</w:t>
      </w:r>
    </w:p>
    <w:p>
      <w:pPr>
        <w:pStyle w:val="ListParagraph"/>
        <w:numPr>
          <w:ilvl w:val="0"/>
          <w:numId w:val="2"/>
        </w:numPr>
        <w:spacing w:after="60"/>
      </w:pPr>
      <w:r>
        <w:t xml:space="preserve">Click PREVIEW. The console shows exactly how many alerts and logs would be removed.</w:t>
      </w:r>
    </w:p>
    <w:p>
      <w:pPr>
        <w:pStyle w:val="ListParagraph"/>
        <w:numPr>
          <w:ilvl w:val="0"/>
          <w:numId w:val="2"/>
        </w:numPr>
        <w:spacing w:after="60"/>
      </w:pPr>
      <w:r>
        <w:t xml:space="preserve">If the numbers look right, click PURGE and confirm the dialog.</w:t>
      </w:r>
    </w:p>
    <w:p>
      <w:pPr>
        <w:pStyle w:val="Heading2"/>
        <w:spacing w:after="120" w:before="240"/>
      </w:pPr>
      <w:r>
        <w:t xml:space="preserve">7.3 The safety guards</w:t>
      </w:r>
    </w:p>
    <w:p>
      <w:pPr>
        <w:pStyle w:val="ListParagraph"/>
        <w:numPr>
          <w:ilvl w:val="0"/>
          <w:numId w:val="3"/>
        </w:numPr>
        <w:spacing w:after="60"/>
      </w:pPr>
      <w:r>
        <w:rPr>
          <w:b/>
          <w:bCs/>
        </w:rPr>
        <w:t xml:space="preserve">Alerts of severity ≥ min_severity_to_keep are preserved regardless of age. </w:t>
      </w:r>
      <w:r>
        <w:t xml:space="preserve">Default: HIGH. To allow HIGH deletions, choose 'critical'; to remove the guard entirely, choose 'no severity guard'.</w:t>
      </w:r>
    </w:p>
    <w:p>
      <w:pPr>
        <w:pStyle w:val="ListParagraph"/>
        <w:numPr>
          <w:ilvl w:val="0"/>
          <w:numId w:val="3"/>
        </w:numPr>
        <w:spacing w:after="60"/>
      </w:pPr>
      <w:r>
        <w:rPr>
          <w:b/>
          <w:bCs/>
        </w:rPr>
        <w:t xml:space="preserve">Untriaged alerts are protected. </w:t>
      </w:r>
      <w:r>
        <w:t xml:space="preserve">An alert an analyst hasn't marked resolved or false positive stays. Uncheck the box only if you know you're deleting queue history rather than active work.</w:t>
      </w:r>
    </w:p>
    <w:p>
      <w:pPr>
        <w:pStyle w:val="ListParagraph"/>
        <w:numPr>
          <w:ilvl w:val="0"/>
          <w:numId w:val="3"/>
        </w:numPr>
        <w:spacing w:after="60"/>
      </w:pPr>
      <w:r>
        <w:rPr>
          <w:b/>
          <w:bCs/>
        </w:rPr>
        <w:t xml:space="preserve">Deleting a log does NOT delete the alert that referenced it. </w:t>
      </w:r>
      <w:r>
        <w:t xml:space="preserve">The alert's log_id is set to NULL. Losing the evidence line should not silently disappear the alert.</w:t>
      </w:r>
    </w:p>
    <w:p>
      <w:pPr>
        <w:pStyle w:val="ListParagraph"/>
        <w:numPr>
          <w:ilvl w:val="0"/>
          <w:numId w:val="3"/>
        </w:numPr>
        <w:spacing w:after="60"/>
      </w:pPr>
      <w:r>
        <w:rPr>
          <w:b/>
          <w:bCs/>
        </w:rPr>
        <w:t xml:space="preserve">Deleting an alert DOES cascade to its status history and its SOAR actions. </w:t>
      </w:r>
      <w:r>
        <w:t xml:space="preserve">Those rows are only meaningful in the alert's context.</w:t>
      </w:r>
    </w:p>
    <w:p>
      <w:pPr>
        <w:pBdr>
          <w:left w:val="single" w:color="F0466A" w:sz="16"/>
        </w:pBdr>
        <w:shd w:fill="FDECEC" w:val="clear"/>
        <w:spacing w:after="80" w:before="80"/>
      </w:pPr>
      <w:r>
        <w:rPr>
          <w:b/>
          <w:bCs/>
        </w:rPr>
        <w:t xml:space="preserve">Warning: </w:t>
      </w:r>
      <w:r>
        <w:t xml:space="preserve">Purge is not reversible. Preview first — the PURGE button is disabled until a preview has run.</w:t>
      </w:r>
    </w:p>
    <w:p>
      <w:pPr>
        <w:pStyle w:val="Heading1"/>
        <w:pageBreakBefore/>
        <w:spacing w:after="200" w:before="300"/>
      </w:pPr>
      <w:r>
        <w:t xml:space="preserve">Chapter 8 — Administration</w:t>
      </w:r>
    </w:p>
    <w:p>
      <w:pPr>
        <w:pStyle w:val="Heading2"/>
        <w:spacing w:after="120" w:before="240"/>
      </w:pPr>
      <w:r>
        <w:t xml:space="preserve">8.1 Changing the admin password</w:t>
      </w:r>
    </w:p>
    <w:p>
      <w:pPr>
        <w:spacing w:after="120"/>
      </w:pPr>
      <w:r>
        <w:t xml:space="preserve">The initial password (ChangeMe123!) is set from .env on first startup. Change it immediately in production or on any shared network. There are two paths:</w:t>
      </w:r>
    </w:p>
    <w:p>
      <w:pPr>
        <w:spacing w:after="120"/>
      </w:pPr>
      <w:r>
        <w:rPr>
          <w:b/>
          <w:bCs/>
        </w:rPr>
        <w:t xml:space="preserve">From the console (planned): </w:t>
      </w:r>
      <w:r>
        <w:t xml:space="preserve">a Users page in a future release will let each user change their own password from the browser.</w:t>
      </w:r>
    </w:p>
    <w:p>
      <w:pPr>
        <w:spacing w:after="120"/>
      </w:pPr>
      <w:r>
        <w:rPr>
          <w:b/>
          <w:bCs/>
        </w:rPr>
        <w:t xml:space="preserve">Today, via .env: </w:t>
      </w:r>
      <w:r>
        <w:t xml:space="preserve">stop the backend, edit DEFAULT_ADMIN_PASSWORD in .env, delete data/siem.db, restart. The new password is now the initial one.</w:t>
      </w:r>
    </w:p>
    <w:p>
      <w:pPr>
        <w:pStyle w:val="Heading2"/>
        <w:spacing w:after="120" w:before="240"/>
      </w:pPr>
      <w:r>
        <w:t xml:space="preserve">8.2 Registering a new endpoint</w:t>
      </w:r>
    </w:p>
    <w:p>
      <w:pPr>
        <w:spacing w:after="120"/>
      </w:pPr>
      <w:r>
        <w:t xml:space="preserve">The Endpoints page — POST /api/agents — accepts hostname, operating system, and IP address. New endpoints appear immediately in Endpoints/overview. Once an ingested log carries the returned agent_id, the endpoint's status flips to ONLINE.</w:t>
      </w:r>
    </w:p>
    <w:p>
      <w:pPr>
        <w:pStyle w:val="Heading2"/>
        <w:spacing w:after="120" w:before="240"/>
      </w:pPr>
      <w:r>
        <w:t xml:space="preserve">8.3 Connecting a Wazuh Manager</w:t>
      </w:r>
    </w:p>
    <w:p>
      <w:pPr>
        <w:spacing w:after="120"/>
      </w:pPr>
      <w:r>
        <w:t xml:space="preserve">Add to .env:</w:t>
      </w:r>
    </w:p>
    <w:p>
      <w:pPr>
        <w:shd w:fill="F2F2F2" w:val="clear"/>
        <w:spacing w:after="60" w:before="60"/>
      </w:pPr>
      <w:r>
        <w:rPr>
          <w:rFonts w:ascii="Cascadia Mono" w:cs="Cascadia Mono" w:eastAsia="Cascadia Mono" w:hAnsi="Cascadia Mono"/>
          <w:sz w:val="18"/>
          <w:szCs w:val="18"/>
        </w:rPr>
        <w:t xml:space="preserve">WAZUH_URL=https://&lt;wazuh-host&gt;:55000
WAZUH_USERNAME=wazuh
WAZUH_PASSWORD=&lt;real-password&gt;
WAZUH_VERIFY_SSL=false</w:t>
      </w:r>
    </w:p>
    <w:p>
      <w:pPr>
        <w:spacing w:after="120"/>
      </w:pPr>
      <w:r>
        <w:t xml:space="preserve">Restart the backend. The Endpoints page will merge Wazuh's agents into the local list, and the wazuh_integration badge will read CONNECTED. If the manager is unreachable the badge reads UNREACHABLE with the actual error — the console never fabricates a list.</w:t>
      </w:r>
    </w:p>
    <w:p>
      <w:pPr>
        <w:pStyle w:val="Heading2"/>
        <w:spacing w:after="120" w:before="240"/>
      </w:pPr>
      <w:r>
        <w:t xml:space="preserve">8.4 Simulation Lab (demo scenarios)</w:t>
      </w:r>
    </w:p>
    <w:p>
      <w:pPr>
        <w:spacing w:after="120"/>
      </w:pPr>
      <w:r>
        <w:t xml:space="preserve">Administrator-only. Six scenarios: brute_force, port_scan, credential_compromise, privilege_escalation, file_tampering, full_attack_chain. Each replays a realistic attack as raw log lines through the ordinary ingestion pipeline — nothing is inserted into the alerts table directly. If a rule doesn't fire on the traffic, no alert appears (no fabricated data).</w:t>
      </w:r>
    </w:p>
    <w:p>
      <w:pPr>
        <w:spacing w:after="120"/>
      </w:pPr>
      <w:r>
        <w:t xml:space="preserve">Every simulated event is tagged source='simulation' and simulated:true in normalized_data, so lab traffic is always distinguishable from real events afterwards. The full attack chain runs all five scenarios back to back in the order of a real intrusion.</w:t>
      </w:r>
    </w:p>
    <w:p>
      <w:pPr>
        <w:pStyle w:val="Heading1"/>
        <w:pageBreakBefore/>
        <w:spacing w:after="200" w:before="300"/>
      </w:pPr>
      <w:r>
        <w:t xml:space="preserve">Chapter 9 — Troubleshooting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500"/>
      </w:tblGrid>
      <w:tr>
        <w:trPr>
          <w:tblHeader/>
        </w:trPr>
        <w:tc>
          <w:tcPr>
            <w:tcW w:type="dxa" w:w="3200"/>
            <w:shd w:fill="1F4E79" w:val="clear"/>
          </w:tcPr>
          <w:p>
            <w:pPr>
              <w:spacing w:after="120"/>
            </w:pPr>
            <w:r>
              <w:rPr>
                <w:b/>
                <w:bCs/>
                <w:color w:val="FFFFFF"/>
              </w:rPr>
              <w:t xml:space="preserve">Symptom</w:t>
            </w:r>
          </w:p>
        </w:tc>
        <w:tc>
          <w:tcPr>
            <w:tcW w:type="dxa" w:w="3300"/>
            <w:shd w:fill="1F4E79" w:val="clear"/>
          </w:tcPr>
          <w:p>
            <w:pPr>
              <w:spacing w:after="120"/>
            </w:pPr>
            <w:r>
              <w:rPr>
                <w:b/>
                <w:bCs/>
                <w:color w:val="FFFFFF"/>
              </w:rPr>
              <w:t xml:space="preserve">Cause</w:t>
            </w:r>
          </w:p>
        </w:tc>
        <w:tc>
          <w:tcPr>
            <w:tcW w:type="dxa" w:w="3500"/>
            <w:shd w:fill="1F4E79" w:val="clear"/>
          </w:tcPr>
          <w:p>
            <w:pPr>
              <w:spacing w:after="120"/>
            </w:pPr>
            <w:r>
              <w:rPr>
                <w:b/>
                <w:bCs/>
                <w:color w:val="FFFFFF"/>
              </w:rPr>
              <w:t xml:space="preserve">Fix</w:t>
            </w:r>
          </w:p>
        </w:tc>
      </w:tr>
      <w:tr>
        <w:tc>
          <w:tcPr>
            <w:tcW w:type="dxa" w:w="3200"/>
          </w:tcPr>
          <w:p>
            <w:pPr>
              <w:spacing w:after="120"/>
            </w:pPr>
            <w:r>
              <w:t xml:space="preserve">Login page shows 'Backend unreachable'</w:t>
            </w:r>
          </w:p>
        </w:tc>
        <w:tc>
          <w:tcPr>
            <w:tcW w:type="dxa" w:w="3300"/>
          </w:tcPr>
          <w:p>
            <w:pPr>
              <w:spacing w:after="120"/>
            </w:pPr>
            <w:r>
              <w:t xml:space="preserve">Backend not running or wrong URL in frontend/.env</w:t>
            </w:r>
          </w:p>
        </w:tc>
        <w:tc>
          <w:tcPr>
            <w:tcW w:type="dxa" w:w="3500"/>
          </w:tcPr>
          <w:p>
            <w:pPr>
              <w:spacing w:after="120"/>
            </w:pPr>
            <w:r>
              <w:t xml:space="preserve">Verify uvicorn is running; check VITE_API_URL</w:t>
            </w:r>
          </w:p>
        </w:tc>
      </w:tr>
      <w:tr>
        <w:tc>
          <w:tcPr>
            <w:tcW w:type="dxa" w:w="3200"/>
          </w:tcPr>
          <w:p>
            <w:pPr>
              <w:spacing w:after="120"/>
            </w:pPr>
            <w:r>
              <w:t xml:space="preserve">No alerts after a Simulation run</w:t>
            </w:r>
          </w:p>
        </w:tc>
        <w:tc>
          <w:tcPr>
            <w:tcW w:type="dxa" w:w="3300"/>
          </w:tcPr>
          <w:p>
            <w:pPr>
              <w:spacing w:after="120"/>
            </w:pPr>
            <w:r>
              <w:t xml:space="preserve">Rules may be disabled or dedup-suppressed</w:t>
            </w:r>
          </w:p>
        </w:tc>
        <w:tc>
          <w:tcPr>
            <w:tcW w:type="dxa" w:w="3500"/>
          </w:tcPr>
          <w:p>
            <w:pPr>
              <w:spacing w:after="120"/>
            </w:pPr>
            <w:r>
              <w:t xml:space="preserve">Check Rules page for enabled state; resolve any open alert with the same dedup key</w:t>
            </w:r>
          </w:p>
        </w:tc>
      </w:tr>
      <w:tr>
        <w:tc>
          <w:tcPr>
            <w:tcW w:type="dxa" w:w="3200"/>
          </w:tcPr>
          <w:p>
            <w:pPr>
              <w:spacing w:after="120"/>
            </w:pPr>
            <w:r>
              <w:t xml:space="preserve">Wazuh badge reads UNREACHABLE</w:t>
            </w:r>
          </w:p>
        </w:tc>
        <w:tc>
          <w:tcPr>
            <w:tcW w:type="dxa" w:w="3300"/>
          </w:tcPr>
          <w:p>
            <w:pPr>
              <w:spacing w:after="120"/>
            </w:pPr>
            <w:r>
              <w:t xml:space="preserve">Wazuh Manager not running or firewall blocks 55000</w:t>
            </w:r>
          </w:p>
        </w:tc>
        <w:tc>
          <w:tcPr>
            <w:tcW w:type="dxa" w:w="3500"/>
          </w:tcPr>
          <w:p>
            <w:pPr>
              <w:spacing w:after="120"/>
            </w:pPr>
            <w:r>
              <w:t xml:space="preserve">systemctl status wazuh-manager on the Wazuh host; open port 55000</w:t>
            </w:r>
          </w:p>
        </w:tc>
      </w:tr>
      <w:tr>
        <w:tc>
          <w:tcPr>
            <w:tcW w:type="dxa" w:w="3200"/>
          </w:tcPr>
          <w:p>
            <w:pPr>
              <w:spacing w:after="120"/>
            </w:pPr>
            <w:r>
              <w:t xml:space="preserve">Alerts appear only after page refresh</w:t>
            </w:r>
          </w:p>
        </w:tc>
        <w:tc>
          <w:tcPr>
            <w:tcW w:type="dxa" w:w="3300"/>
          </w:tcPr>
          <w:p>
            <w:pPr>
              <w:spacing w:after="120"/>
            </w:pPr>
            <w:r>
              <w:t xml:space="preserve">WebSocket blocked by proxy; polling fallback fires every 8 s</w:t>
            </w:r>
          </w:p>
        </w:tc>
        <w:tc>
          <w:tcPr>
            <w:tcW w:type="dxa" w:w="3500"/>
          </w:tcPr>
          <w:p>
            <w:pPr>
              <w:spacing w:after="120"/>
            </w:pPr>
            <w:r>
              <w:t xml:space="preserve">This is expected — polling catches up. If unacceptable, remove the proxy or use ngrok</w:t>
            </w:r>
          </w:p>
        </w:tc>
      </w:tr>
      <w:tr>
        <w:tc>
          <w:tcPr>
            <w:tcW w:type="dxa" w:w="3200"/>
          </w:tcPr>
          <w:p>
            <w:pPr>
              <w:spacing w:after="120"/>
            </w:pPr>
            <w:r>
              <w:t xml:space="preserve">Desktop notifications never appear</w:t>
            </w:r>
          </w:p>
        </w:tc>
        <w:tc>
          <w:tcPr>
            <w:tcW w:type="dxa" w:w="3300"/>
          </w:tcPr>
          <w:p>
            <w:pPr>
              <w:spacing w:after="120"/>
            </w:pPr>
            <w:r>
              <w:t xml:space="preserve">Browser permission denied</w:t>
            </w:r>
          </w:p>
        </w:tc>
        <w:tc>
          <w:tcPr>
            <w:tcW w:type="dxa" w:w="3500"/>
          </w:tcPr>
          <w:p>
            <w:pPr>
              <w:spacing w:after="120"/>
            </w:pPr>
            <w:r>
              <w:t xml:space="preserve">Click the lock icon in the address bar → Notifications → Allow</w:t>
            </w:r>
          </w:p>
        </w:tc>
      </w:tr>
      <w:tr>
        <w:tc>
          <w:tcPr>
            <w:tcW w:type="dxa" w:w="3200"/>
          </w:tcPr>
          <w:p>
            <w:pPr>
              <w:spacing w:after="120"/>
            </w:pPr>
            <w:r>
              <w:t xml:space="preserve">Rule PATCH returns 403</w:t>
            </w:r>
          </w:p>
        </w:tc>
        <w:tc>
          <w:tcPr>
            <w:tcW w:type="dxa" w:w="3300"/>
          </w:tcPr>
          <w:p>
            <w:pPr>
              <w:spacing w:after="120"/>
            </w:pPr>
            <w:r>
              <w:t xml:space="preserve">Analyst role trying to edit — rules are admin-only</w:t>
            </w:r>
          </w:p>
        </w:tc>
        <w:tc>
          <w:tcPr>
            <w:tcW w:type="dxa" w:w="3500"/>
          </w:tcPr>
          <w:p>
            <w:pPr>
              <w:spacing w:after="120"/>
            </w:pPr>
            <w:r>
              <w:t xml:space="preserve">Log in as an administrator</w:t>
            </w:r>
          </w:p>
        </w:tc>
      </w:tr>
      <w:tr>
        <w:tc>
          <w:tcPr>
            <w:tcW w:type="dxa" w:w="3200"/>
          </w:tcPr>
          <w:p>
            <w:pPr>
              <w:spacing w:after="120"/>
            </w:pPr>
            <w:r>
              <w:t xml:space="preserve">Docker compose says 'port already in use'</w:t>
            </w:r>
          </w:p>
        </w:tc>
        <w:tc>
          <w:tcPr>
            <w:tcW w:type="dxa" w:w="3300"/>
          </w:tcPr>
          <w:p>
            <w:pPr>
              <w:spacing w:after="120"/>
            </w:pPr>
            <w:r>
              <w:t xml:space="preserve">Something else on 8000 or 5173</w:t>
            </w:r>
          </w:p>
        </w:tc>
        <w:tc>
          <w:tcPr>
            <w:tcW w:type="dxa" w:w="3500"/>
          </w:tcPr>
          <w:p>
            <w:pPr>
              <w:spacing w:after="120"/>
            </w:pPr>
            <w:r>
              <w:t xml:space="preserve">Either stop the conflicting process or change the ports in docker-compose</w:t>
            </w:r>
          </w:p>
        </w:tc>
      </w:tr>
      <w:tr>
        <w:tc>
          <w:tcPr>
            <w:tcW w:type="dxa" w:w="3200"/>
          </w:tcPr>
          <w:p>
            <w:pPr>
              <w:spacing w:after="120"/>
            </w:pPr>
            <w:r>
              <w:t xml:space="preserve">Retention purge complains 'Provide at least one of…'</w:t>
            </w:r>
          </w:p>
        </w:tc>
        <w:tc>
          <w:tcPr>
            <w:tcW w:type="dxa" w:w="3300"/>
          </w:tcPr>
          <w:p>
            <w:pPr>
              <w:spacing w:after="120"/>
            </w:pPr>
            <w:r>
              <w:t xml:space="preserve">Empty payload rejected on purpose</w:t>
            </w:r>
          </w:p>
        </w:tc>
        <w:tc>
          <w:tcPr>
            <w:tcW w:type="dxa" w:w="3500"/>
          </w:tcPr>
          <w:p>
            <w:pPr>
              <w:spacing w:after="120"/>
            </w:pPr>
            <w:r>
              <w:t xml:space="preserve">Enter a day count for alerts, logs, or both</w:t>
            </w:r>
          </w:p>
        </w:tc>
      </w:tr>
    </w:tbl>
    <w:p>
      <w:pPr>
        <w:pStyle w:val="Heading2"/>
        <w:spacing w:after="120" w:before="240"/>
      </w:pPr>
      <w:r>
        <w:t xml:space="preserve">9.1 Getting help</w:t>
      </w:r>
    </w:p>
    <w:p>
      <w:pPr>
        <w:spacing w:after="120"/>
      </w:pPr>
      <w:r>
        <w:t xml:space="preserve">If a symptom is not covered above, capture the following before opening an issue: the exact browser URL, the browser console (F12 → Console) output, the backend log (uvicorn stdout), and the docker compose logs if you're using containers. That is what a maintainer needs to diagnose.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SIEM &amp; SOAR — User Manual</dc:title>
  <dc:creator>Lightweight SIEM &amp; SOAR Project</dc:creator>
  <cp:lastModifiedBy>Un-named</cp:lastModifiedBy>
  <cp:revision>1</cp:revision>
  <dcterms:created xsi:type="dcterms:W3CDTF">2026-08-25T21:20:14.548Z</dcterms:created>
  <dcterms:modified xsi:type="dcterms:W3CDTF">2026-08-25T21:20:14.563Z</dcterms:modified>
</cp:coreProperties>
</file>

<file path=docProps/custom.xml><?xml version="1.0" encoding="utf-8"?>
<Properties xmlns="http://schemas.openxmlformats.org/officeDocument/2006/custom-properties" xmlns:vt="http://schemas.openxmlformats.org/officeDocument/2006/docPropsVTypes"/>
</file>