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ll discuss about the design, methods used and functions of our Crawler.</w:t>
      </w:r>
    </w:p>
    <w:p w:rsidR="00F37945" w:rsidRPr="00F37945" w:rsidRDefault="00F37945" w:rsidP="00F37945">
      <w:pPr>
        <w:pStyle w:val="ListParagraph"/>
        <w:numPr>
          <w:ilvl w:val="1"/>
          <w:numId w:val="11"/>
        </w:numPr>
        <w:spacing w:line="360" w:lineRule="auto"/>
        <w:jc w:val="both"/>
        <w:rPr>
          <w:sz w:val="24"/>
          <w:szCs w:val="24"/>
        </w:rPr>
      </w:pPr>
      <w:r w:rsidRPr="00F37945">
        <w:rPr>
          <w:sz w:val="24"/>
          <w:szCs w:val="24"/>
        </w:rPr>
        <w:t>Goals and Objectives</w:t>
      </w:r>
    </w:p>
    <w:p w:rsidR="00117493" w:rsidRPr="00F37945"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1D449E">
        <w:rPr>
          <w:sz w:val="24"/>
          <w:szCs w:val="24"/>
        </w:rPr>
        <w:t xml:space="preserve">This basically </w:t>
      </w:r>
      <w:r w:rsidRPr="00F37945">
        <w:rPr>
          <w:sz w:val="24"/>
          <w:szCs w:val="24"/>
        </w:rPr>
        <w:t xml:space="preserve"> </w:t>
      </w:r>
    </w:p>
    <w:p w:rsidR="00117493" w:rsidRPr="00117493" w:rsidRDefault="00117493" w:rsidP="00CD5036">
      <w:pPr>
        <w:spacing w:line="360" w:lineRule="auto"/>
        <w:jc w:val="both"/>
        <w:rPr>
          <w:sz w:val="24"/>
          <w:szCs w:val="24"/>
        </w:rPr>
      </w:pPr>
    </w:p>
    <w:p w:rsidR="00857D4A" w:rsidRDefault="00857D4A" w:rsidP="00CD5036">
      <w:pPr>
        <w:spacing w:line="360" w:lineRule="auto"/>
        <w:jc w:val="both"/>
        <w:rPr>
          <w:sz w:val="32"/>
          <w:szCs w:val="32"/>
        </w:rPr>
      </w:pPr>
      <w:bookmarkStart w:id="0" w:name="_GoBack"/>
      <w:bookmarkEnd w:id="0"/>
    </w:p>
    <w:p w:rsidR="00442EDD" w:rsidRDefault="00442EDD" w:rsidP="00CD5036">
      <w:pPr>
        <w:spacing w:line="360" w:lineRule="auto"/>
        <w:rPr>
          <w:sz w:val="32"/>
          <w:szCs w:val="32"/>
        </w:rPr>
      </w:pPr>
      <w:r>
        <w:rPr>
          <w:sz w:val="32"/>
          <w:szCs w:val="32"/>
        </w:rPr>
        <w:br w:type="page"/>
      </w:r>
    </w:p>
    <w:p w:rsidR="00DB4F3B" w:rsidRPr="00857D4A" w:rsidRDefault="00857D4A" w:rsidP="00CD5036">
      <w:pPr>
        <w:spacing w:line="360" w:lineRule="auto"/>
        <w:jc w:val="both"/>
        <w:rPr>
          <w:sz w:val="32"/>
          <w:szCs w:val="32"/>
        </w:rPr>
      </w:pPr>
      <w:r w:rsidRPr="00857D4A">
        <w:rPr>
          <w:sz w:val="32"/>
          <w:szCs w:val="32"/>
        </w:rPr>
        <w:lastRenderedPageBreak/>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 xml:space="preserve">as YouTube restricts users to scrap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on:&lt;/span&gt; &lt;span class="extra"&gt; &lt;a rel="nofollow" href="http://facebook.com" dir="ltr"&gt;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&lt;/dd&gt;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 xml:space="preserve">t was possible to parse the XML page in Java and scrap </w:t>
      </w:r>
      <w:r w:rsidR="001D0CE5" w:rsidRPr="001F413D">
        <w:rPr>
          <w:sz w:val="24"/>
          <w:szCs w:val="24"/>
        </w:rPr>
        <w:t xml:space="preserve">data within the HTML content.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r w:rsidR="00AA153D" w:rsidRPr="005E14E5">
        <w:rPr>
          <w:sz w:val="24"/>
          <w:szCs w:val="24"/>
        </w:rPr>
        <w:t>,</w:t>
      </w:r>
      <w:r w:rsidR="00AA153D">
        <w:rPr>
          <w:sz w:val="24"/>
          <w:szCs w:val="24"/>
        </w:rPr>
        <w:t xml:space="preserve"> </w:t>
      </w:r>
      <w:r w:rsidR="00AA153D" w:rsidRPr="005E14E5">
        <w:rPr>
          <w:sz w:val="24"/>
          <w:szCs w:val="24"/>
        </w:rPr>
        <w:t>”</w:t>
      </w:r>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Default="00EC1AF9" w:rsidP="00EC1AF9">
      <w:pPr>
        <w:spacing w:line="360" w:lineRule="auto"/>
        <w:jc w:val="both"/>
        <w:rPr>
          <w:i/>
          <w:sz w:val="24"/>
          <w:szCs w:val="24"/>
        </w:rPr>
      </w:pPr>
    </w:p>
    <w:p w:rsidR="00EC1AF9" w:rsidRDefault="00EC1AF9" w:rsidP="00EC1AF9">
      <w:pPr>
        <w:spacing w:line="360" w:lineRule="auto"/>
        <w:jc w:val="both"/>
        <w:rPr>
          <w:i/>
          <w:sz w:val="24"/>
          <w:szCs w:val="24"/>
        </w:rPr>
      </w:pP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lastRenderedPageBreak/>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t xml:space="preserve"> </w:t>
      </w:r>
      <w:r w:rsidR="00322A4F" w:rsidRPr="00F22CBF">
        <w:rPr>
          <w:rFonts w:cstheme="minorHAnsi"/>
          <w:sz w:val="24"/>
          <w:szCs w:val="24"/>
        </w:rPr>
        <w:t xml:space="preserve">For this study </w:t>
      </w:r>
      <w:proofErr w:type="gramStart"/>
      <w:r w:rsidR="00C26870" w:rsidRPr="00F22CBF">
        <w:rPr>
          <w:rFonts w:cstheme="minorHAnsi"/>
          <w:sz w:val="24"/>
          <w:szCs w:val="24"/>
        </w:rPr>
        <w:t>S</w:t>
      </w:r>
      <w:r w:rsidRPr="00F22CBF">
        <w:rPr>
          <w:rFonts w:cstheme="minorHAnsi"/>
          <w:sz w:val="24"/>
          <w:szCs w:val="24"/>
        </w:rPr>
        <w:t>ame</w:t>
      </w:r>
      <w:proofErr w:type="gramEnd"/>
      <w:r w:rsidRPr="00F22CBF">
        <w:rPr>
          <w:rFonts w:cstheme="minorHAnsi"/>
          <w:sz w:val="24"/>
          <w:szCs w:val="24"/>
        </w:rPr>
        <w:t xml:space="preserve"> method was applied to </w:t>
      </w:r>
      <w:r w:rsidR="00AE1843" w:rsidRPr="00F22CBF">
        <w:rPr>
          <w:rFonts w:cstheme="minorHAnsi"/>
          <w:sz w:val="24"/>
          <w:szCs w:val="24"/>
        </w:rPr>
        <w:t>scrap</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7360" w:type="dxa"/>
        <w:tblLook w:val="0600" w:firstRow="0" w:lastRow="0" w:firstColumn="0" w:lastColumn="0" w:noHBand="1" w:noVBand="1"/>
      </w:tblPr>
      <w:tblGrid>
        <w:gridCol w:w="1640"/>
        <w:gridCol w:w="1640"/>
        <w:gridCol w:w="2440"/>
        <w:gridCol w:w="1640"/>
      </w:tblGrid>
      <w:tr w:rsidR="009C011C" w:rsidTr="009C011C">
        <w:trPr>
          <w:trHeight w:val="255"/>
        </w:trPr>
        <w:tc>
          <w:tcPr>
            <w:tcW w:w="1640"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440"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640" w:type="dxa"/>
            <w:noWrap/>
            <w:hideMark/>
          </w:tcPr>
          <w:p w:rsidR="009C011C" w:rsidRDefault="009C011C">
            <w:pPr>
              <w:rPr>
                <w:rFonts w:ascii="Arial" w:hAnsi="Arial" w:cs="Arial"/>
                <w:sz w:val="20"/>
                <w:szCs w:val="20"/>
              </w:rPr>
            </w:pPr>
            <w:r>
              <w:rPr>
                <w:rFonts w:ascii="Arial" w:hAnsi="Arial" w:cs="Arial"/>
                <w:sz w:val="20"/>
                <w:szCs w:val="20"/>
              </w:rPr>
              <w:t>Cars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640" w:type="dxa"/>
            <w:noWrap/>
            <w:hideMark/>
          </w:tcPr>
          <w:p w:rsidR="009C011C" w:rsidRDefault="009C011C">
            <w:pPr>
              <w:rPr>
                <w:rFonts w:ascii="Arial" w:hAnsi="Arial" w:cs="Arial"/>
                <w:sz w:val="20"/>
                <w:szCs w:val="20"/>
              </w:rPr>
            </w:pPr>
            <w:r>
              <w:rPr>
                <w:rFonts w:ascii="Arial" w:hAnsi="Arial" w:cs="Arial"/>
                <w:sz w:val="20"/>
                <w:szCs w:val="20"/>
              </w:rPr>
              <w:t>Comedy</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640" w:type="dxa"/>
            <w:noWrap/>
            <w:hideMark/>
          </w:tcPr>
          <w:p w:rsidR="009C011C" w:rsidRDefault="009C011C">
            <w:pPr>
              <w:rPr>
                <w:rFonts w:ascii="Arial" w:hAnsi="Arial" w:cs="Arial"/>
                <w:sz w:val="20"/>
                <w:szCs w:val="20"/>
              </w:rPr>
            </w:pPr>
            <w:r>
              <w:rPr>
                <w:rFonts w:ascii="Arial" w:hAnsi="Arial" w:cs="Arial"/>
                <w:sz w:val="20"/>
                <w:szCs w:val="20"/>
              </w:rPr>
              <w:t>Education</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640"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640" w:type="dxa"/>
            <w:noWrap/>
            <w:hideMark/>
          </w:tcPr>
          <w:p w:rsidR="009C011C" w:rsidRDefault="009C011C">
            <w:pPr>
              <w:rPr>
                <w:rFonts w:ascii="Arial" w:hAnsi="Arial" w:cs="Arial"/>
                <w:sz w:val="20"/>
                <w:szCs w:val="20"/>
              </w:rPr>
            </w:pPr>
            <w:r>
              <w:rPr>
                <w:rFonts w:ascii="Arial" w:hAnsi="Arial" w:cs="Arial"/>
                <w:sz w:val="20"/>
                <w:szCs w:val="20"/>
              </w:rPr>
              <w:t>Film</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640" w:type="dxa"/>
            <w:noWrap/>
            <w:hideMark/>
          </w:tcPr>
          <w:p w:rsidR="009C011C" w:rsidRDefault="009C011C">
            <w:pPr>
              <w:rPr>
                <w:rFonts w:ascii="Arial" w:hAnsi="Arial" w:cs="Arial"/>
                <w:sz w:val="20"/>
                <w:szCs w:val="20"/>
              </w:rPr>
            </w:pPr>
            <w:r>
              <w:rPr>
                <w:rFonts w:ascii="Arial" w:hAnsi="Arial" w:cs="Arial"/>
                <w:sz w:val="20"/>
                <w:szCs w:val="20"/>
              </w:rPr>
              <w:t>Gaming</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640" w:type="dxa"/>
            <w:noWrap/>
            <w:hideMark/>
          </w:tcPr>
          <w:p w:rsidR="009C011C" w:rsidRDefault="009C011C">
            <w:pPr>
              <w:rPr>
                <w:rFonts w:ascii="Arial" w:hAnsi="Arial" w:cs="Arial"/>
                <w:sz w:val="20"/>
                <w:szCs w:val="20"/>
              </w:rPr>
            </w:pPr>
            <w:r>
              <w:rPr>
                <w:rFonts w:ascii="Arial" w:hAnsi="Arial" w:cs="Arial"/>
                <w:sz w:val="20"/>
                <w:szCs w:val="20"/>
              </w:rPr>
              <w:t>Howto</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640" w:type="dxa"/>
            <w:noWrap/>
            <w:hideMark/>
          </w:tcPr>
          <w:p w:rsidR="009C011C" w:rsidRDefault="009C011C">
            <w:pPr>
              <w:rPr>
                <w:rFonts w:ascii="Arial" w:hAnsi="Arial" w:cs="Arial"/>
                <w:sz w:val="20"/>
                <w:szCs w:val="20"/>
              </w:rPr>
            </w:pPr>
            <w:r>
              <w:rPr>
                <w:rFonts w:ascii="Arial" w:hAnsi="Arial" w:cs="Arial"/>
                <w:sz w:val="20"/>
                <w:szCs w:val="20"/>
              </w:rPr>
              <w:t>Music</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640" w:type="dxa"/>
            <w:noWrap/>
            <w:hideMark/>
          </w:tcPr>
          <w:p w:rsidR="009C011C" w:rsidRDefault="009C011C">
            <w:pPr>
              <w:rPr>
                <w:rFonts w:ascii="Arial" w:hAnsi="Arial" w:cs="Arial"/>
                <w:sz w:val="20"/>
                <w:szCs w:val="20"/>
              </w:rPr>
            </w:pPr>
            <w:r>
              <w:rPr>
                <w:rFonts w:ascii="Arial" w:hAnsi="Arial" w:cs="Arial"/>
                <w:sz w:val="20"/>
                <w:szCs w:val="20"/>
              </w:rPr>
              <w:t>News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640" w:type="dxa"/>
            <w:noWrap/>
            <w:hideMark/>
          </w:tcPr>
          <w:p w:rsidR="009C011C" w:rsidRDefault="009C011C">
            <w:pPr>
              <w:rPr>
                <w:rFonts w:ascii="Arial" w:hAnsi="Arial" w:cs="Arial"/>
                <w:sz w:val="20"/>
                <w:szCs w:val="20"/>
              </w:rPr>
            </w:pPr>
            <w:r>
              <w:rPr>
                <w:rFonts w:ascii="Arial" w:hAnsi="Arial" w:cs="Arial"/>
                <w:sz w:val="20"/>
                <w:szCs w:val="20"/>
              </w:rPr>
              <w:t>on-profits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640" w:type="dxa"/>
            <w:noWrap/>
            <w:hideMark/>
          </w:tcPr>
          <w:p w:rsidR="009C011C" w:rsidRDefault="009C011C">
            <w:pPr>
              <w:rPr>
                <w:rFonts w:ascii="Arial" w:hAnsi="Arial" w:cs="Arial"/>
                <w:sz w:val="20"/>
                <w:szCs w:val="20"/>
              </w:rPr>
            </w:pPr>
            <w:r>
              <w:rPr>
                <w:rFonts w:ascii="Arial" w:hAnsi="Arial" w:cs="Arial"/>
                <w:sz w:val="20"/>
                <w:szCs w:val="20"/>
              </w:rPr>
              <w:t>People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640" w:type="dxa"/>
            <w:noWrap/>
            <w:hideMark/>
          </w:tcPr>
          <w:p w:rsidR="009C011C" w:rsidRDefault="009C011C">
            <w:pPr>
              <w:rPr>
                <w:rFonts w:ascii="Arial" w:hAnsi="Arial" w:cs="Arial"/>
                <w:sz w:val="20"/>
                <w:szCs w:val="20"/>
              </w:rPr>
            </w:pPr>
            <w:r>
              <w:rPr>
                <w:rFonts w:ascii="Arial" w:hAnsi="Arial" w:cs="Arial"/>
                <w:sz w:val="20"/>
                <w:szCs w:val="20"/>
              </w:rPr>
              <w:t>Pets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640" w:type="dxa"/>
            <w:noWrap/>
            <w:hideMark/>
          </w:tcPr>
          <w:p w:rsidR="009C011C" w:rsidRDefault="009C011C">
            <w:pPr>
              <w:rPr>
                <w:rFonts w:ascii="Arial" w:hAnsi="Arial" w:cs="Arial"/>
                <w:sz w:val="20"/>
                <w:szCs w:val="20"/>
              </w:rPr>
            </w:pPr>
            <w:r>
              <w:rPr>
                <w:rFonts w:ascii="Arial" w:hAnsi="Arial" w:cs="Arial"/>
                <w:sz w:val="20"/>
                <w:szCs w:val="20"/>
              </w:rPr>
              <w:t>Science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640" w:type="dxa"/>
            <w:noWrap/>
            <w:hideMark/>
          </w:tcPr>
          <w:p w:rsidR="009C011C" w:rsidRDefault="009C011C">
            <w:pPr>
              <w:rPr>
                <w:rFonts w:ascii="Arial" w:hAnsi="Arial" w:cs="Arial"/>
                <w:sz w:val="20"/>
                <w:szCs w:val="20"/>
              </w:rPr>
            </w:pPr>
            <w:r>
              <w:rPr>
                <w:rFonts w:ascii="Arial" w:hAnsi="Arial" w:cs="Arial"/>
                <w:sz w:val="20"/>
                <w:szCs w:val="20"/>
              </w:rPr>
              <w:t>Shows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640" w:type="dxa"/>
            <w:noWrap/>
            <w:hideMark/>
          </w:tcPr>
          <w:p w:rsidR="009C011C" w:rsidRDefault="009C011C">
            <w:pPr>
              <w:rPr>
                <w:rFonts w:ascii="Arial" w:hAnsi="Arial" w:cs="Arial"/>
                <w:sz w:val="20"/>
                <w:szCs w:val="20"/>
              </w:rPr>
            </w:pPr>
            <w:r>
              <w:rPr>
                <w:rFonts w:ascii="Arial" w:hAnsi="Arial" w:cs="Arial"/>
                <w:sz w:val="20"/>
                <w:szCs w:val="20"/>
              </w:rPr>
              <w:t>Sport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640" w:type="dxa"/>
            <w:noWrap/>
            <w:hideMark/>
          </w:tcPr>
          <w:p w:rsidR="009C011C" w:rsidRDefault="009C011C">
            <w:pPr>
              <w:rPr>
                <w:rFonts w:ascii="Arial" w:hAnsi="Arial" w:cs="Arial"/>
                <w:sz w:val="20"/>
                <w:szCs w:val="20"/>
              </w:rPr>
            </w:pPr>
            <w:r>
              <w:rPr>
                <w:rFonts w:ascii="Arial" w:hAnsi="Arial" w:cs="Arial"/>
                <w:sz w:val="20"/>
                <w:szCs w:val="20"/>
              </w:rPr>
              <w:t>Trailers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640" w:type="dxa"/>
            <w:noWrap/>
            <w:hideMark/>
          </w:tcPr>
          <w:p w:rsidR="009C011C" w:rsidRDefault="009C011C">
            <w:pPr>
              <w:rPr>
                <w:rFonts w:ascii="Arial" w:hAnsi="Arial" w:cs="Arial"/>
                <w:sz w:val="20"/>
                <w:szCs w:val="20"/>
              </w:rPr>
            </w:pPr>
            <w:r>
              <w:rPr>
                <w:rFonts w:ascii="Arial" w:hAnsi="Arial" w:cs="Arial"/>
                <w:sz w:val="20"/>
                <w:szCs w:val="20"/>
              </w:rPr>
              <w:t>Travel</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w:t>
      </w:r>
      <w:r w:rsidR="001D6918">
        <w:rPr>
          <w:sz w:val="24"/>
          <w:szCs w:val="24"/>
        </w:rPr>
        <w:lastRenderedPageBreak/>
        <w:t>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proofErr w:type="gramStart"/>
      <w:r w:rsidR="00845E49">
        <w:t>5.6</w:t>
      </w:r>
      <w:r w:rsidR="005F046C">
        <w:t xml:space="preserve"> </w:t>
      </w:r>
      <w:r w:rsidRPr="00AE50B7">
        <w:t>:</w:t>
      </w:r>
      <w:proofErr w:type="gramEnd"/>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4AA43091" wp14:editId="6234E3BA">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467C" w:rsidRDefault="00845E49" w:rsidP="00AE50B7">
      <w:pPr>
        <w:spacing w:line="240" w:lineRule="auto"/>
        <w:jc w:val="both"/>
      </w:pPr>
      <w:r>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lastRenderedPageBreak/>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AE3A41" w:rsidRPr="00AE3A41"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4B2CE4" w:rsidRPr="00F3543B" w:rsidRDefault="004B2CE4" w:rsidP="00AE50B7">
      <w:pPr>
        <w:spacing w:line="240" w:lineRule="auto"/>
        <w:jc w:val="both"/>
        <w:rPr>
          <w:sz w:val="24"/>
          <w:szCs w:val="24"/>
        </w:rPr>
      </w:pPr>
    </w:p>
    <w:sectPr w:rsidR="004B2CE4" w:rsidRPr="00F3543B" w:rsidSect="00526654">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8C" w:rsidRDefault="0058008C" w:rsidP="00850BE1">
      <w:pPr>
        <w:spacing w:after="0" w:line="240" w:lineRule="auto"/>
      </w:pPr>
      <w:r>
        <w:separator/>
      </w:r>
    </w:p>
  </w:endnote>
  <w:endnote w:type="continuationSeparator" w:id="0">
    <w:p w:rsidR="0058008C" w:rsidRDefault="0058008C"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8" w:rsidRDefault="00F92AA8">
    <w:pPr>
      <w:pStyle w:val="Footer"/>
    </w:pPr>
  </w:p>
  <w:p w:rsidR="00F92AA8" w:rsidRDefault="00F92A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8" w:rsidRPr="00146D94" w:rsidRDefault="00F92AA8"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F92AA8" w:rsidRDefault="00F92A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8C" w:rsidRDefault="0058008C" w:rsidP="00850BE1">
      <w:pPr>
        <w:spacing w:after="0" w:line="240" w:lineRule="auto"/>
      </w:pPr>
      <w:r>
        <w:separator/>
      </w:r>
    </w:p>
  </w:footnote>
  <w:footnote w:type="continuationSeparator" w:id="0">
    <w:p w:rsidR="0058008C" w:rsidRDefault="0058008C"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0"/>
  </w:num>
  <w:num w:numId="3">
    <w:abstractNumId w:val="7"/>
  </w:num>
  <w:num w:numId="4">
    <w:abstractNumId w:val="2"/>
  </w:num>
  <w:num w:numId="5">
    <w:abstractNumId w:val="6"/>
  </w:num>
  <w:num w:numId="6">
    <w:abstractNumId w:val="4"/>
  </w:num>
  <w:num w:numId="7">
    <w:abstractNumId w:val="3"/>
  </w:num>
  <w:num w:numId="8">
    <w:abstractNumId w:val="0"/>
  </w:num>
  <w:num w:numId="9">
    <w:abstractNumId w:val="9"/>
  </w:num>
  <w:num w:numId="10">
    <w:abstractNumId w:val="5"/>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2C7"/>
    <w:rsid w:val="000236D9"/>
    <w:rsid w:val="00024DB4"/>
    <w:rsid w:val="00025446"/>
    <w:rsid w:val="00025C5D"/>
    <w:rsid w:val="000268FD"/>
    <w:rsid w:val="00027B65"/>
    <w:rsid w:val="00030E6A"/>
    <w:rsid w:val="000312C7"/>
    <w:rsid w:val="00031379"/>
    <w:rsid w:val="000377EE"/>
    <w:rsid w:val="00040989"/>
    <w:rsid w:val="00044CA9"/>
    <w:rsid w:val="00047F5E"/>
    <w:rsid w:val="00051626"/>
    <w:rsid w:val="00061A55"/>
    <w:rsid w:val="00070486"/>
    <w:rsid w:val="0007279A"/>
    <w:rsid w:val="00074B00"/>
    <w:rsid w:val="00080546"/>
    <w:rsid w:val="00083145"/>
    <w:rsid w:val="0008630C"/>
    <w:rsid w:val="000940BB"/>
    <w:rsid w:val="000971EC"/>
    <w:rsid w:val="000B0CA8"/>
    <w:rsid w:val="000B31EB"/>
    <w:rsid w:val="000B52E6"/>
    <w:rsid w:val="000B7A35"/>
    <w:rsid w:val="000C0CBA"/>
    <w:rsid w:val="000C182F"/>
    <w:rsid w:val="000C459A"/>
    <w:rsid w:val="000C4692"/>
    <w:rsid w:val="000C7618"/>
    <w:rsid w:val="000C7A31"/>
    <w:rsid w:val="000D2C73"/>
    <w:rsid w:val="000D6B3C"/>
    <w:rsid w:val="000E4E7A"/>
    <w:rsid w:val="00103EEF"/>
    <w:rsid w:val="00104620"/>
    <w:rsid w:val="00114F64"/>
    <w:rsid w:val="00117493"/>
    <w:rsid w:val="00117A34"/>
    <w:rsid w:val="00117A3C"/>
    <w:rsid w:val="0012001C"/>
    <w:rsid w:val="00122FDB"/>
    <w:rsid w:val="001265FC"/>
    <w:rsid w:val="00131920"/>
    <w:rsid w:val="001321C4"/>
    <w:rsid w:val="00133BA2"/>
    <w:rsid w:val="001355C6"/>
    <w:rsid w:val="00137CEB"/>
    <w:rsid w:val="001457FA"/>
    <w:rsid w:val="001469A3"/>
    <w:rsid w:val="00146D94"/>
    <w:rsid w:val="001553E8"/>
    <w:rsid w:val="00156A2E"/>
    <w:rsid w:val="00164D07"/>
    <w:rsid w:val="00171763"/>
    <w:rsid w:val="00173431"/>
    <w:rsid w:val="00173DEC"/>
    <w:rsid w:val="00174D03"/>
    <w:rsid w:val="001859CB"/>
    <w:rsid w:val="00186556"/>
    <w:rsid w:val="00197BC3"/>
    <w:rsid w:val="001A0342"/>
    <w:rsid w:val="001A0999"/>
    <w:rsid w:val="001A440E"/>
    <w:rsid w:val="001B1966"/>
    <w:rsid w:val="001B7E21"/>
    <w:rsid w:val="001B7F84"/>
    <w:rsid w:val="001C214E"/>
    <w:rsid w:val="001C2AE2"/>
    <w:rsid w:val="001C6D7F"/>
    <w:rsid w:val="001D0CE5"/>
    <w:rsid w:val="001D0E13"/>
    <w:rsid w:val="001D10CA"/>
    <w:rsid w:val="001D1659"/>
    <w:rsid w:val="001D1827"/>
    <w:rsid w:val="001D3708"/>
    <w:rsid w:val="001D449E"/>
    <w:rsid w:val="001D6918"/>
    <w:rsid w:val="001F0651"/>
    <w:rsid w:val="001F0D1E"/>
    <w:rsid w:val="001F413D"/>
    <w:rsid w:val="001F69CA"/>
    <w:rsid w:val="001F6EAD"/>
    <w:rsid w:val="001F7221"/>
    <w:rsid w:val="00201445"/>
    <w:rsid w:val="002026C8"/>
    <w:rsid w:val="0021015D"/>
    <w:rsid w:val="002153B5"/>
    <w:rsid w:val="00215EEB"/>
    <w:rsid w:val="002167C3"/>
    <w:rsid w:val="00221CF8"/>
    <w:rsid w:val="00223327"/>
    <w:rsid w:val="00225575"/>
    <w:rsid w:val="00235DB2"/>
    <w:rsid w:val="00237137"/>
    <w:rsid w:val="00237176"/>
    <w:rsid w:val="0024331A"/>
    <w:rsid w:val="00250189"/>
    <w:rsid w:val="002576D3"/>
    <w:rsid w:val="00260160"/>
    <w:rsid w:val="00272D60"/>
    <w:rsid w:val="00285405"/>
    <w:rsid w:val="0028600D"/>
    <w:rsid w:val="00290032"/>
    <w:rsid w:val="002938D4"/>
    <w:rsid w:val="002A2DC9"/>
    <w:rsid w:val="002A6F24"/>
    <w:rsid w:val="002B012A"/>
    <w:rsid w:val="002B098E"/>
    <w:rsid w:val="002B0A9C"/>
    <w:rsid w:val="002B2393"/>
    <w:rsid w:val="002C1B90"/>
    <w:rsid w:val="002C3AB2"/>
    <w:rsid w:val="002C6578"/>
    <w:rsid w:val="002C6881"/>
    <w:rsid w:val="002D22C1"/>
    <w:rsid w:val="002D22D5"/>
    <w:rsid w:val="002D5354"/>
    <w:rsid w:val="002E3CCE"/>
    <w:rsid w:val="002E3F93"/>
    <w:rsid w:val="002E60CE"/>
    <w:rsid w:val="002E6140"/>
    <w:rsid w:val="002E77EE"/>
    <w:rsid w:val="002F17A5"/>
    <w:rsid w:val="002F2DDC"/>
    <w:rsid w:val="002F38A0"/>
    <w:rsid w:val="002F79DF"/>
    <w:rsid w:val="002F7CEF"/>
    <w:rsid w:val="00300BE1"/>
    <w:rsid w:val="003038A6"/>
    <w:rsid w:val="00306540"/>
    <w:rsid w:val="00311B23"/>
    <w:rsid w:val="003165CE"/>
    <w:rsid w:val="00320961"/>
    <w:rsid w:val="00322A4F"/>
    <w:rsid w:val="00325DDE"/>
    <w:rsid w:val="00343631"/>
    <w:rsid w:val="00351A6D"/>
    <w:rsid w:val="003562EF"/>
    <w:rsid w:val="00360AE5"/>
    <w:rsid w:val="00363459"/>
    <w:rsid w:val="003655CE"/>
    <w:rsid w:val="003656BC"/>
    <w:rsid w:val="00367830"/>
    <w:rsid w:val="00390FE2"/>
    <w:rsid w:val="00392BE0"/>
    <w:rsid w:val="00393C4C"/>
    <w:rsid w:val="003979AC"/>
    <w:rsid w:val="003A00A8"/>
    <w:rsid w:val="003A3C1F"/>
    <w:rsid w:val="003A4635"/>
    <w:rsid w:val="003A55A4"/>
    <w:rsid w:val="003A6B6E"/>
    <w:rsid w:val="003B0E63"/>
    <w:rsid w:val="003B4385"/>
    <w:rsid w:val="003B4EF2"/>
    <w:rsid w:val="003C1480"/>
    <w:rsid w:val="003C15BC"/>
    <w:rsid w:val="003D1083"/>
    <w:rsid w:val="003E133A"/>
    <w:rsid w:val="003F72A0"/>
    <w:rsid w:val="00401AE9"/>
    <w:rsid w:val="004038A6"/>
    <w:rsid w:val="00406E3F"/>
    <w:rsid w:val="004076C8"/>
    <w:rsid w:val="00411F9F"/>
    <w:rsid w:val="004206CB"/>
    <w:rsid w:val="00422DF8"/>
    <w:rsid w:val="004309FE"/>
    <w:rsid w:val="004315D3"/>
    <w:rsid w:val="004351F3"/>
    <w:rsid w:val="004426B3"/>
    <w:rsid w:val="00442EDD"/>
    <w:rsid w:val="00443DC1"/>
    <w:rsid w:val="004443D2"/>
    <w:rsid w:val="00445E98"/>
    <w:rsid w:val="004467E9"/>
    <w:rsid w:val="0044788B"/>
    <w:rsid w:val="00451549"/>
    <w:rsid w:val="00460E88"/>
    <w:rsid w:val="00462810"/>
    <w:rsid w:val="00463629"/>
    <w:rsid w:val="004657CA"/>
    <w:rsid w:val="0047226F"/>
    <w:rsid w:val="0047687D"/>
    <w:rsid w:val="00477DE1"/>
    <w:rsid w:val="0048013D"/>
    <w:rsid w:val="004835FD"/>
    <w:rsid w:val="00490AD4"/>
    <w:rsid w:val="0049284C"/>
    <w:rsid w:val="00493C51"/>
    <w:rsid w:val="0049444B"/>
    <w:rsid w:val="004A1610"/>
    <w:rsid w:val="004A1EFF"/>
    <w:rsid w:val="004A35CF"/>
    <w:rsid w:val="004A42DE"/>
    <w:rsid w:val="004B2CE4"/>
    <w:rsid w:val="004B613D"/>
    <w:rsid w:val="004C1E13"/>
    <w:rsid w:val="004C282D"/>
    <w:rsid w:val="004C29BA"/>
    <w:rsid w:val="004C5016"/>
    <w:rsid w:val="004D2CF6"/>
    <w:rsid w:val="004E06F3"/>
    <w:rsid w:val="004E45E8"/>
    <w:rsid w:val="004F25A6"/>
    <w:rsid w:val="004F7638"/>
    <w:rsid w:val="005030CE"/>
    <w:rsid w:val="005126B7"/>
    <w:rsid w:val="00520B47"/>
    <w:rsid w:val="00520CCD"/>
    <w:rsid w:val="005244FC"/>
    <w:rsid w:val="005256EA"/>
    <w:rsid w:val="00526654"/>
    <w:rsid w:val="00532D1D"/>
    <w:rsid w:val="00534494"/>
    <w:rsid w:val="00534FD8"/>
    <w:rsid w:val="00536D55"/>
    <w:rsid w:val="00541A3F"/>
    <w:rsid w:val="00552FB6"/>
    <w:rsid w:val="00555DDA"/>
    <w:rsid w:val="00563500"/>
    <w:rsid w:val="005639C3"/>
    <w:rsid w:val="0056691F"/>
    <w:rsid w:val="00571700"/>
    <w:rsid w:val="00573B41"/>
    <w:rsid w:val="00576092"/>
    <w:rsid w:val="0058008C"/>
    <w:rsid w:val="00580CB2"/>
    <w:rsid w:val="0058247B"/>
    <w:rsid w:val="00586139"/>
    <w:rsid w:val="00591C6A"/>
    <w:rsid w:val="00594C31"/>
    <w:rsid w:val="005A306D"/>
    <w:rsid w:val="005A5EB6"/>
    <w:rsid w:val="005A65DC"/>
    <w:rsid w:val="005A6BB0"/>
    <w:rsid w:val="005A77E7"/>
    <w:rsid w:val="005B2B8B"/>
    <w:rsid w:val="005C0998"/>
    <w:rsid w:val="005C1E76"/>
    <w:rsid w:val="005C6FDD"/>
    <w:rsid w:val="005D1990"/>
    <w:rsid w:val="005D1D27"/>
    <w:rsid w:val="005D4487"/>
    <w:rsid w:val="005E14E5"/>
    <w:rsid w:val="005E495B"/>
    <w:rsid w:val="005E5C8F"/>
    <w:rsid w:val="005F046C"/>
    <w:rsid w:val="005F0F91"/>
    <w:rsid w:val="005F16ED"/>
    <w:rsid w:val="005F2767"/>
    <w:rsid w:val="005F747F"/>
    <w:rsid w:val="00601EEF"/>
    <w:rsid w:val="00606DAC"/>
    <w:rsid w:val="00613966"/>
    <w:rsid w:val="00616AF1"/>
    <w:rsid w:val="00620449"/>
    <w:rsid w:val="0062551A"/>
    <w:rsid w:val="0062614F"/>
    <w:rsid w:val="00627496"/>
    <w:rsid w:val="00636230"/>
    <w:rsid w:val="00643F7F"/>
    <w:rsid w:val="00644B24"/>
    <w:rsid w:val="006474B8"/>
    <w:rsid w:val="00650AF1"/>
    <w:rsid w:val="00651B93"/>
    <w:rsid w:val="00651CED"/>
    <w:rsid w:val="00652D1B"/>
    <w:rsid w:val="00654268"/>
    <w:rsid w:val="00654732"/>
    <w:rsid w:val="00672153"/>
    <w:rsid w:val="00672B5F"/>
    <w:rsid w:val="00676D68"/>
    <w:rsid w:val="00683B74"/>
    <w:rsid w:val="00693CBB"/>
    <w:rsid w:val="00694A25"/>
    <w:rsid w:val="00695B0B"/>
    <w:rsid w:val="006A0012"/>
    <w:rsid w:val="006A3ED3"/>
    <w:rsid w:val="006A77CD"/>
    <w:rsid w:val="006B0C06"/>
    <w:rsid w:val="006B25FE"/>
    <w:rsid w:val="006B29F6"/>
    <w:rsid w:val="006B403A"/>
    <w:rsid w:val="006B6202"/>
    <w:rsid w:val="006C05B0"/>
    <w:rsid w:val="006C141B"/>
    <w:rsid w:val="006C2850"/>
    <w:rsid w:val="006D75D8"/>
    <w:rsid w:val="006E2820"/>
    <w:rsid w:val="006E7144"/>
    <w:rsid w:val="006F3B5D"/>
    <w:rsid w:val="006F4481"/>
    <w:rsid w:val="006F57C6"/>
    <w:rsid w:val="00700311"/>
    <w:rsid w:val="0070314A"/>
    <w:rsid w:val="00704A2D"/>
    <w:rsid w:val="00706138"/>
    <w:rsid w:val="007171E0"/>
    <w:rsid w:val="00720C07"/>
    <w:rsid w:val="00731260"/>
    <w:rsid w:val="00731657"/>
    <w:rsid w:val="007328BB"/>
    <w:rsid w:val="0073419D"/>
    <w:rsid w:val="007354B1"/>
    <w:rsid w:val="00735D42"/>
    <w:rsid w:val="007475D6"/>
    <w:rsid w:val="00764CF5"/>
    <w:rsid w:val="00766459"/>
    <w:rsid w:val="00767AFF"/>
    <w:rsid w:val="00771E46"/>
    <w:rsid w:val="00786C9E"/>
    <w:rsid w:val="00790DFE"/>
    <w:rsid w:val="007913A6"/>
    <w:rsid w:val="00793265"/>
    <w:rsid w:val="00794BFD"/>
    <w:rsid w:val="00794E3D"/>
    <w:rsid w:val="007966BD"/>
    <w:rsid w:val="007A2197"/>
    <w:rsid w:val="007B26C6"/>
    <w:rsid w:val="007C2A4D"/>
    <w:rsid w:val="007C5FE6"/>
    <w:rsid w:val="007D071B"/>
    <w:rsid w:val="007D5E23"/>
    <w:rsid w:val="007D68AA"/>
    <w:rsid w:val="007E4E20"/>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60A0"/>
    <w:rsid w:val="00831441"/>
    <w:rsid w:val="00835FA4"/>
    <w:rsid w:val="008409DF"/>
    <w:rsid w:val="00842B5C"/>
    <w:rsid w:val="0084363D"/>
    <w:rsid w:val="00844A31"/>
    <w:rsid w:val="00844A73"/>
    <w:rsid w:val="00845C7D"/>
    <w:rsid w:val="00845E49"/>
    <w:rsid w:val="00846FFF"/>
    <w:rsid w:val="008478B1"/>
    <w:rsid w:val="00850125"/>
    <w:rsid w:val="00850BE1"/>
    <w:rsid w:val="008524D0"/>
    <w:rsid w:val="00853846"/>
    <w:rsid w:val="00857D4A"/>
    <w:rsid w:val="0086689E"/>
    <w:rsid w:val="0087121C"/>
    <w:rsid w:val="0087253B"/>
    <w:rsid w:val="00876E3C"/>
    <w:rsid w:val="00880637"/>
    <w:rsid w:val="00890998"/>
    <w:rsid w:val="00891969"/>
    <w:rsid w:val="008931E7"/>
    <w:rsid w:val="00895744"/>
    <w:rsid w:val="008A5AE1"/>
    <w:rsid w:val="008B184A"/>
    <w:rsid w:val="008B44C4"/>
    <w:rsid w:val="008C0F71"/>
    <w:rsid w:val="008C27C0"/>
    <w:rsid w:val="008C3753"/>
    <w:rsid w:val="008D345A"/>
    <w:rsid w:val="008D7065"/>
    <w:rsid w:val="008E0057"/>
    <w:rsid w:val="008E1072"/>
    <w:rsid w:val="008E2644"/>
    <w:rsid w:val="008E6474"/>
    <w:rsid w:val="008F0FA2"/>
    <w:rsid w:val="008F6587"/>
    <w:rsid w:val="009027F4"/>
    <w:rsid w:val="00905232"/>
    <w:rsid w:val="00905280"/>
    <w:rsid w:val="00913FBD"/>
    <w:rsid w:val="00915010"/>
    <w:rsid w:val="009152BF"/>
    <w:rsid w:val="00915370"/>
    <w:rsid w:val="00915BCC"/>
    <w:rsid w:val="00915DA3"/>
    <w:rsid w:val="009273EC"/>
    <w:rsid w:val="00934DA3"/>
    <w:rsid w:val="0093522B"/>
    <w:rsid w:val="00942D3F"/>
    <w:rsid w:val="00951AD7"/>
    <w:rsid w:val="00964A88"/>
    <w:rsid w:val="009679A5"/>
    <w:rsid w:val="00967F39"/>
    <w:rsid w:val="00971A17"/>
    <w:rsid w:val="00974383"/>
    <w:rsid w:val="009810C1"/>
    <w:rsid w:val="0098263A"/>
    <w:rsid w:val="00990DB2"/>
    <w:rsid w:val="009937CD"/>
    <w:rsid w:val="00995F18"/>
    <w:rsid w:val="00996303"/>
    <w:rsid w:val="009A1C9C"/>
    <w:rsid w:val="009A260C"/>
    <w:rsid w:val="009A491D"/>
    <w:rsid w:val="009A536C"/>
    <w:rsid w:val="009A58A5"/>
    <w:rsid w:val="009B0E6A"/>
    <w:rsid w:val="009B7524"/>
    <w:rsid w:val="009B78A8"/>
    <w:rsid w:val="009C011C"/>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2FB6"/>
    <w:rsid w:val="00A2370A"/>
    <w:rsid w:val="00A2421A"/>
    <w:rsid w:val="00A24939"/>
    <w:rsid w:val="00A24D45"/>
    <w:rsid w:val="00A25540"/>
    <w:rsid w:val="00A27470"/>
    <w:rsid w:val="00A32F4E"/>
    <w:rsid w:val="00A35EC9"/>
    <w:rsid w:val="00A36B5E"/>
    <w:rsid w:val="00A36C96"/>
    <w:rsid w:val="00A37FCA"/>
    <w:rsid w:val="00A527BC"/>
    <w:rsid w:val="00A53569"/>
    <w:rsid w:val="00A53A57"/>
    <w:rsid w:val="00A60431"/>
    <w:rsid w:val="00A608A6"/>
    <w:rsid w:val="00A703B0"/>
    <w:rsid w:val="00A7267B"/>
    <w:rsid w:val="00A753B0"/>
    <w:rsid w:val="00A75876"/>
    <w:rsid w:val="00A75967"/>
    <w:rsid w:val="00A77F10"/>
    <w:rsid w:val="00A84691"/>
    <w:rsid w:val="00A9038A"/>
    <w:rsid w:val="00A928EC"/>
    <w:rsid w:val="00A960B6"/>
    <w:rsid w:val="00AA153D"/>
    <w:rsid w:val="00AA1DD4"/>
    <w:rsid w:val="00AA6C58"/>
    <w:rsid w:val="00AA7750"/>
    <w:rsid w:val="00AB4AD4"/>
    <w:rsid w:val="00AB5080"/>
    <w:rsid w:val="00AB7BD7"/>
    <w:rsid w:val="00AD0F23"/>
    <w:rsid w:val="00AD3CB5"/>
    <w:rsid w:val="00AD467C"/>
    <w:rsid w:val="00AE1843"/>
    <w:rsid w:val="00AE20B9"/>
    <w:rsid w:val="00AE2B28"/>
    <w:rsid w:val="00AE3A41"/>
    <w:rsid w:val="00AE3E12"/>
    <w:rsid w:val="00AE50B7"/>
    <w:rsid w:val="00AF1C16"/>
    <w:rsid w:val="00AF21B7"/>
    <w:rsid w:val="00AF6968"/>
    <w:rsid w:val="00B0333E"/>
    <w:rsid w:val="00B05CF0"/>
    <w:rsid w:val="00B102F8"/>
    <w:rsid w:val="00B15ABA"/>
    <w:rsid w:val="00B25CAE"/>
    <w:rsid w:val="00B32768"/>
    <w:rsid w:val="00B334CA"/>
    <w:rsid w:val="00B37043"/>
    <w:rsid w:val="00B41523"/>
    <w:rsid w:val="00B50777"/>
    <w:rsid w:val="00B5348A"/>
    <w:rsid w:val="00B536CD"/>
    <w:rsid w:val="00B53C20"/>
    <w:rsid w:val="00B60397"/>
    <w:rsid w:val="00B61EB1"/>
    <w:rsid w:val="00B708A6"/>
    <w:rsid w:val="00B72488"/>
    <w:rsid w:val="00B73556"/>
    <w:rsid w:val="00B82896"/>
    <w:rsid w:val="00B82C9B"/>
    <w:rsid w:val="00B85A79"/>
    <w:rsid w:val="00B91ADE"/>
    <w:rsid w:val="00B9718B"/>
    <w:rsid w:val="00B9780F"/>
    <w:rsid w:val="00BA49BD"/>
    <w:rsid w:val="00BB082D"/>
    <w:rsid w:val="00BC0466"/>
    <w:rsid w:val="00BC139B"/>
    <w:rsid w:val="00BC5F13"/>
    <w:rsid w:val="00BC5F1A"/>
    <w:rsid w:val="00BC6FAE"/>
    <w:rsid w:val="00BD51DB"/>
    <w:rsid w:val="00BD5DE3"/>
    <w:rsid w:val="00BD7B54"/>
    <w:rsid w:val="00BE0E7C"/>
    <w:rsid w:val="00BE6F53"/>
    <w:rsid w:val="00BF51CC"/>
    <w:rsid w:val="00BF60A5"/>
    <w:rsid w:val="00C0216A"/>
    <w:rsid w:val="00C033F7"/>
    <w:rsid w:val="00C26870"/>
    <w:rsid w:val="00C31CE1"/>
    <w:rsid w:val="00C32905"/>
    <w:rsid w:val="00C33F99"/>
    <w:rsid w:val="00C42B69"/>
    <w:rsid w:val="00C4379C"/>
    <w:rsid w:val="00C44020"/>
    <w:rsid w:val="00C44BCA"/>
    <w:rsid w:val="00C5049F"/>
    <w:rsid w:val="00C60368"/>
    <w:rsid w:val="00C625EE"/>
    <w:rsid w:val="00C6308E"/>
    <w:rsid w:val="00C70561"/>
    <w:rsid w:val="00C70D22"/>
    <w:rsid w:val="00C8556A"/>
    <w:rsid w:val="00C92FC5"/>
    <w:rsid w:val="00C9389C"/>
    <w:rsid w:val="00C940C0"/>
    <w:rsid w:val="00C9546D"/>
    <w:rsid w:val="00CB178E"/>
    <w:rsid w:val="00CB398A"/>
    <w:rsid w:val="00CB433C"/>
    <w:rsid w:val="00CB721F"/>
    <w:rsid w:val="00CC6E41"/>
    <w:rsid w:val="00CD028C"/>
    <w:rsid w:val="00CD492E"/>
    <w:rsid w:val="00CD5036"/>
    <w:rsid w:val="00CD5DC9"/>
    <w:rsid w:val="00CD71F4"/>
    <w:rsid w:val="00CE4C5E"/>
    <w:rsid w:val="00CE6DDA"/>
    <w:rsid w:val="00CF2BC9"/>
    <w:rsid w:val="00D00C8D"/>
    <w:rsid w:val="00D02017"/>
    <w:rsid w:val="00D0411F"/>
    <w:rsid w:val="00D04433"/>
    <w:rsid w:val="00D0523D"/>
    <w:rsid w:val="00D06DAF"/>
    <w:rsid w:val="00D11206"/>
    <w:rsid w:val="00D14F7F"/>
    <w:rsid w:val="00D15601"/>
    <w:rsid w:val="00D20E68"/>
    <w:rsid w:val="00D31141"/>
    <w:rsid w:val="00D34B84"/>
    <w:rsid w:val="00D35B8F"/>
    <w:rsid w:val="00D40410"/>
    <w:rsid w:val="00D436D2"/>
    <w:rsid w:val="00D440DC"/>
    <w:rsid w:val="00D44A9C"/>
    <w:rsid w:val="00D4506E"/>
    <w:rsid w:val="00D46EE7"/>
    <w:rsid w:val="00D5246F"/>
    <w:rsid w:val="00D549CB"/>
    <w:rsid w:val="00D557C5"/>
    <w:rsid w:val="00D5713A"/>
    <w:rsid w:val="00D66237"/>
    <w:rsid w:val="00D66475"/>
    <w:rsid w:val="00D67323"/>
    <w:rsid w:val="00D6775E"/>
    <w:rsid w:val="00D67D26"/>
    <w:rsid w:val="00D71EE0"/>
    <w:rsid w:val="00D75C94"/>
    <w:rsid w:val="00D75F2B"/>
    <w:rsid w:val="00D80FDF"/>
    <w:rsid w:val="00D840BA"/>
    <w:rsid w:val="00D85C7A"/>
    <w:rsid w:val="00D91797"/>
    <w:rsid w:val="00DA18B6"/>
    <w:rsid w:val="00DA20B1"/>
    <w:rsid w:val="00DA5222"/>
    <w:rsid w:val="00DB0385"/>
    <w:rsid w:val="00DB12D4"/>
    <w:rsid w:val="00DB1350"/>
    <w:rsid w:val="00DB4F3B"/>
    <w:rsid w:val="00DC03F8"/>
    <w:rsid w:val="00DC2026"/>
    <w:rsid w:val="00DD1E0A"/>
    <w:rsid w:val="00DE1CC8"/>
    <w:rsid w:val="00DE42E9"/>
    <w:rsid w:val="00DE795E"/>
    <w:rsid w:val="00DF4759"/>
    <w:rsid w:val="00DF7F13"/>
    <w:rsid w:val="00E02083"/>
    <w:rsid w:val="00E05321"/>
    <w:rsid w:val="00E06082"/>
    <w:rsid w:val="00E13EC8"/>
    <w:rsid w:val="00E23E49"/>
    <w:rsid w:val="00E3196C"/>
    <w:rsid w:val="00E354F7"/>
    <w:rsid w:val="00E40496"/>
    <w:rsid w:val="00E411CA"/>
    <w:rsid w:val="00E43E0B"/>
    <w:rsid w:val="00E443BE"/>
    <w:rsid w:val="00E508B0"/>
    <w:rsid w:val="00E509A2"/>
    <w:rsid w:val="00E656EF"/>
    <w:rsid w:val="00E657D2"/>
    <w:rsid w:val="00E67C29"/>
    <w:rsid w:val="00E719B4"/>
    <w:rsid w:val="00E73F6A"/>
    <w:rsid w:val="00E73FC2"/>
    <w:rsid w:val="00E8005A"/>
    <w:rsid w:val="00E8349B"/>
    <w:rsid w:val="00E848AE"/>
    <w:rsid w:val="00E85187"/>
    <w:rsid w:val="00E90391"/>
    <w:rsid w:val="00E92231"/>
    <w:rsid w:val="00E96744"/>
    <w:rsid w:val="00E977E2"/>
    <w:rsid w:val="00EA00EC"/>
    <w:rsid w:val="00EA1F6D"/>
    <w:rsid w:val="00EA293D"/>
    <w:rsid w:val="00EA3AE9"/>
    <w:rsid w:val="00EA3BBB"/>
    <w:rsid w:val="00EA3E1C"/>
    <w:rsid w:val="00EA50A3"/>
    <w:rsid w:val="00EA5166"/>
    <w:rsid w:val="00EB14BF"/>
    <w:rsid w:val="00EB6428"/>
    <w:rsid w:val="00EB7BCE"/>
    <w:rsid w:val="00EC156E"/>
    <w:rsid w:val="00EC1AF9"/>
    <w:rsid w:val="00EC6770"/>
    <w:rsid w:val="00ED0DE7"/>
    <w:rsid w:val="00ED0E21"/>
    <w:rsid w:val="00ED6847"/>
    <w:rsid w:val="00EE2C44"/>
    <w:rsid w:val="00EE4AD0"/>
    <w:rsid w:val="00EE648F"/>
    <w:rsid w:val="00EF5733"/>
    <w:rsid w:val="00EF61ED"/>
    <w:rsid w:val="00EF6324"/>
    <w:rsid w:val="00F04989"/>
    <w:rsid w:val="00F16877"/>
    <w:rsid w:val="00F20B1C"/>
    <w:rsid w:val="00F21C0E"/>
    <w:rsid w:val="00F22CBF"/>
    <w:rsid w:val="00F23028"/>
    <w:rsid w:val="00F3543B"/>
    <w:rsid w:val="00F37922"/>
    <w:rsid w:val="00F37945"/>
    <w:rsid w:val="00F41A9D"/>
    <w:rsid w:val="00F41E23"/>
    <w:rsid w:val="00F444DE"/>
    <w:rsid w:val="00F4639B"/>
    <w:rsid w:val="00F46573"/>
    <w:rsid w:val="00F47843"/>
    <w:rsid w:val="00F541D7"/>
    <w:rsid w:val="00F564C2"/>
    <w:rsid w:val="00F60004"/>
    <w:rsid w:val="00F60ABD"/>
    <w:rsid w:val="00F6288B"/>
    <w:rsid w:val="00F65BC1"/>
    <w:rsid w:val="00F67A5C"/>
    <w:rsid w:val="00F7381A"/>
    <w:rsid w:val="00F82177"/>
    <w:rsid w:val="00F83218"/>
    <w:rsid w:val="00F83792"/>
    <w:rsid w:val="00F83EAF"/>
    <w:rsid w:val="00F84E88"/>
    <w:rsid w:val="00F8795E"/>
    <w:rsid w:val="00F92AA8"/>
    <w:rsid w:val="00F9396A"/>
    <w:rsid w:val="00F9438A"/>
    <w:rsid w:val="00FA1BBB"/>
    <w:rsid w:val="00FA52CB"/>
    <w:rsid w:val="00FA64A9"/>
    <w:rsid w:val="00FA7CB6"/>
    <w:rsid w:val="00FC45FA"/>
    <w:rsid w:val="00FC50DA"/>
    <w:rsid w:val="00FC77FB"/>
    <w:rsid w:val="00FD34F5"/>
    <w:rsid w:val="00FD4312"/>
    <w:rsid w:val="00FD445A"/>
    <w:rsid w:val="00FE1441"/>
    <w:rsid w:val="00FE2239"/>
    <w:rsid w:val="00FE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52815872"/>
        <c:axId val="157609984"/>
      </c:barChart>
      <c:catAx>
        <c:axId val="152815872"/>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57609984"/>
        <c:crosses val="autoZero"/>
        <c:auto val="1"/>
        <c:lblAlgn val="ctr"/>
        <c:lblOffset val="100"/>
        <c:noMultiLvlLbl val="0"/>
      </c:catAx>
      <c:valAx>
        <c:axId val="157609984"/>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52815872"/>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157454336"/>
        <c:axId val="157456256"/>
      </c:barChart>
      <c:catAx>
        <c:axId val="157454336"/>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157456256"/>
        <c:crosses val="autoZero"/>
        <c:auto val="1"/>
        <c:lblAlgn val="ctr"/>
        <c:lblOffset val="100"/>
        <c:noMultiLvlLbl val="0"/>
      </c:catAx>
      <c:valAx>
        <c:axId val="157456256"/>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15745433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157472640"/>
        <c:axId val="157474176"/>
      </c:barChart>
      <c:catAx>
        <c:axId val="157472640"/>
        <c:scaling>
          <c:orientation val="minMax"/>
        </c:scaling>
        <c:delete val="0"/>
        <c:axPos val="b"/>
        <c:majorTickMark val="out"/>
        <c:minorTickMark val="none"/>
        <c:tickLblPos val="nextTo"/>
        <c:crossAx val="157474176"/>
        <c:crosses val="autoZero"/>
        <c:auto val="1"/>
        <c:lblAlgn val="ctr"/>
        <c:lblOffset val="100"/>
        <c:noMultiLvlLbl val="0"/>
      </c:catAx>
      <c:valAx>
        <c:axId val="157474176"/>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1574726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57056000"/>
        <c:axId val="157172864"/>
      </c:barChart>
      <c:catAx>
        <c:axId val="157056000"/>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57172864"/>
        <c:crosses val="autoZero"/>
        <c:auto val="1"/>
        <c:lblAlgn val="ctr"/>
        <c:lblOffset val="100"/>
        <c:noMultiLvlLbl val="0"/>
      </c:catAx>
      <c:valAx>
        <c:axId val="157172864"/>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57056000"/>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57227264"/>
        <c:axId val="157274496"/>
      </c:barChart>
      <c:catAx>
        <c:axId val="157227264"/>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57274496"/>
        <c:crosses val="autoZero"/>
        <c:auto val="1"/>
        <c:lblAlgn val="ctr"/>
        <c:lblOffset val="100"/>
        <c:noMultiLvlLbl val="0"/>
      </c:catAx>
      <c:valAx>
        <c:axId val="157274496"/>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57227264"/>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57291648"/>
        <c:axId val="157293568"/>
      </c:barChart>
      <c:catAx>
        <c:axId val="157291648"/>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57293568"/>
        <c:crosses val="autoZero"/>
        <c:auto val="1"/>
        <c:lblAlgn val="ctr"/>
        <c:lblOffset val="100"/>
        <c:noMultiLvlLbl val="0"/>
      </c:catAx>
      <c:valAx>
        <c:axId val="157293568"/>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57291648"/>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57322240"/>
        <c:axId val="157336320"/>
      </c:barChart>
      <c:catAx>
        <c:axId val="157322240"/>
        <c:scaling>
          <c:orientation val="minMax"/>
        </c:scaling>
        <c:delete val="0"/>
        <c:axPos val="b"/>
        <c:numFmt formatCode="General" sourceLinked="1"/>
        <c:majorTickMark val="none"/>
        <c:minorTickMark val="none"/>
        <c:tickLblPos val="nextTo"/>
        <c:crossAx val="157336320"/>
        <c:crosses val="autoZero"/>
        <c:auto val="1"/>
        <c:lblAlgn val="ctr"/>
        <c:lblOffset val="100"/>
        <c:noMultiLvlLbl val="0"/>
      </c:catAx>
      <c:valAx>
        <c:axId val="157336320"/>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57322240"/>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57353088"/>
        <c:axId val="157355008"/>
      </c:barChart>
      <c:catAx>
        <c:axId val="157353088"/>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57355008"/>
        <c:crosses val="autoZero"/>
        <c:auto val="1"/>
        <c:lblAlgn val="ctr"/>
        <c:lblOffset val="100"/>
        <c:noMultiLvlLbl val="0"/>
      </c:catAx>
      <c:valAx>
        <c:axId val="157355008"/>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5735308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157350912"/>
        <c:axId val="157377664"/>
      </c:barChart>
      <c:catAx>
        <c:axId val="157350912"/>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157377664"/>
        <c:crosses val="autoZero"/>
        <c:auto val="1"/>
        <c:lblAlgn val="ctr"/>
        <c:lblOffset val="100"/>
        <c:noMultiLvlLbl val="0"/>
      </c:catAx>
      <c:valAx>
        <c:axId val="157377664"/>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15735091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157393664"/>
        <c:axId val="157395200"/>
      </c:barChart>
      <c:catAx>
        <c:axId val="157393664"/>
        <c:scaling>
          <c:orientation val="minMax"/>
        </c:scaling>
        <c:delete val="0"/>
        <c:axPos val="l"/>
        <c:numFmt formatCode="General" sourceLinked="1"/>
        <c:majorTickMark val="out"/>
        <c:minorTickMark val="none"/>
        <c:tickLblPos val="nextTo"/>
        <c:crossAx val="157395200"/>
        <c:crosses val="autoZero"/>
        <c:auto val="1"/>
        <c:lblAlgn val="ctr"/>
        <c:lblOffset val="100"/>
        <c:noMultiLvlLbl val="0"/>
      </c:catAx>
      <c:valAx>
        <c:axId val="157395200"/>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15739366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157415680"/>
        <c:axId val="157425664"/>
      </c:barChart>
      <c:catAx>
        <c:axId val="157415680"/>
        <c:scaling>
          <c:orientation val="minMax"/>
        </c:scaling>
        <c:delete val="0"/>
        <c:axPos val="l"/>
        <c:majorTickMark val="out"/>
        <c:minorTickMark val="none"/>
        <c:tickLblPos val="nextTo"/>
        <c:crossAx val="157425664"/>
        <c:crosses val="autoZero"/>
        <c:auto val="1"/>
        <c:lblAlgn val="ctr"/>
        <c:lblOffset val="100"/>
        <c:noMultiLvlLbl val="0"/>
      </c:catAx>
      <c:valAx>
        <c:axId val="157425664"/>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157415680"/>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4C428-1346-495A-A8D6-A49F9E75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26</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696</cp:revision>
  <dcterms:created xsi:type="dcterms:W3CDTF">2012-08-03T13:58:00Z</dcterms:created>
  <dcterms:modified xsi:type="dcterms:W3CDTF">2012-08-27T23:00:00Z</dcterms:modified>
</cp:coreProperties>
</file>