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pStyle w:val="Heading1"/>
        <w:spacing w:after="80" w:before="160" w:line="384" w:lineRule="auto"/>
        <w:jc w:val="center"/>
      </w:pPr>
      <w:r>
        <w:rPr>
          <w:rFonts w:ascii="Cambria" w:cs="Cambria" w:eastAsia="Cambria" w:hAnsi="Cambria"/>
          <w:color w:val="8B6914"/>
          <w:spacing w:val="40"/>
          <w:sz w:val="44"/>
          <w:szCs w:val="44"/>
        </w:rPr>
        <w:t xml:space="preserve">APPENDIX B</w:t>
      </w:r>
    </w:p>
    <w:p>
      <w:pPr>
        <w:spacing w:after="60" w:before="60" w:line="384" w:lineRule="auto"/>
        <w:jc w:val="center"/>
      </w:pPr>
      <w:r>
        <w:rPr>
          <w:rFonts w:ascii="Cambria" w:cs="Cambria" w:eastAsia="Cambria" w:hAnsi="Cambria"/>
          <w:b w:val="false"/>
          <w:bCs w:val="false"/>
          <w:i/>
          <w:iCs/>
          <w:strike w:val="false"/>
          <w:color w:val="666666"/>
          <w:sz w:val="20"/>
          <w:szCs w:val="20"/>
        </w:rPr>
        <w:t xml:space="preserve">THE 96-PATH MATHEMATICAL MODEL</w:t>
      </w:r>
    </w:p>
    <w:p>
      <w:pPr>
        <w:spacing w:after="360" w:before="60" w:line="384" w:lineRule="auto"/>
        <w:jc w:val="center"/>
      </w:pPr>
      <w:r>
        <w:rPr>
          <w:rFonts w:ascii="Cambria" w:cs="Cambria" w:eastAsia="Cambria" w:hAnsi="Cambria"/>
          <w:b w:val="false"/>
          <w:bCs w:val="false"/>
          <w:i/>
          <w:iCs/>
          <w:strike w:val="false"/>
          <w:color w:val="888888"/>
          <w:sz w:val="18"/>
          <w:szCs w:val="18"/>
        </w:rPr>
        <w:t xml:space="preserve">Formal Definitions, Axioms, and Structural Geometry of the Codex Lattice</w:t>
      </w:r>
    </w:p>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pStyle w:val="Heading2"/>
        <w:spacing w:after="100" w:before="480" w:line="384" w:lineRule="auto"/>
      </w:pPr>
      <w:r>
        <w:rPr>
          <w:rFonts w:ascii="Cambria" w:cs="Cambria" w:eastAsia="Cambria" w:hAnsi="Cambria"/>
          <w:color w:val="8B6914"/>
          <w:sz w:val="28"/>
          <w:szCs w:val="28"/>
        </w:rPr>
        <w:t xml:space="preserve">B.1   Foundational Axioms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architecture of the Codex rests upon ninety-six paths arranged in radial symmetry across a full 360° circle. Each path occupies a fixed angular position separated by exactly 3.75° from its neighbors, forming an unbroken lattice that maps the totality of states within the system.</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axioms constitute the irreducible foundation upon which all subsequent definitions, functions, and interpretive structures are erected. They are stated without proof, as they are definitional—the bedrock conventions from which the Codex derives its internal coherence.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 — Completeness.</w:t>
            </w:r>
            <w:r>
              <w:rPr>
                <w:rFonts w:ascii="Cambria" w:cs="Cambria" w:eastAsia="Cambria" w:hAnsi="Cambria"/>
                <w:b w:val="false"/>
                <w:bCs w:val="false"/>
                <w:i w:val="false"/>
                <w:iCs w:val="false"/>
                <w:strike w:val="false"/>
                <w:color w:val="1A1A1A"/>
                <w:sz w:val="22"/>
                <w:szCs w:val="22"/>
              </w:rPr>
              <w:t xml:space="preserve"> The 96 paths span the full 360° without gap or overlap. The angular position of the </w:t>
            </w:r>
            <w:r>
              <w:rPr>
                <w:rFonts w:ascii="Cambria Math" w:cs="Cambria Math" w:eastAsia="Cambria Math" w:hAnsi="Cambria Math"/>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2"/>
                <w:szCs w:val="22"/>
              </w:rPr>
              <w:t xml:space="preserve">-th path is given by:</w:t>
            </w:r>
          </w:p>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(k − 1) × 3.75°</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k ∈ {1, 2, …, 96}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II — Trinary State.</w:t>
            </w:r>
            <w:r>
              <w:rPr>
                <w:rFonts w:ascii="Cambria" w:cs="Cambria" w:eastAsia="Cambria" w:hAnsi="Cambria"/>
                <w:b w:val="false"/>
                <w:bCs w:val="false"/>
                <w:i w:val="false"/>
                <w:iCs w:val="false"/>
                <w:strike w:val="false"/>
                <w:color w:val="1A1A1A"/>
                <w:sz w:val="22"/>
                <w:szCs w:val="22"/>
              </w:rPr>
              <w:t xml:space="preserve"> Each path carries a state value </w:t>
            </w:r>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{−1, 0, +1}</w:t>
            </w:r>
            <w:r>
              <w:rPr>
                <w:rFonts w:ascii="Cambria" w:cs="Cambria" w:eastAsia="Cambria" w:hAnsi="Cambria"/>
                <w:b w:val="false"/>
                <w:bCs w:val="false"/>
                <w:i w:val="false"/>
                <w:iCs w:val="false"/>
                <w:strike w:val="false"/>
                <w:color w:val="1A1A1A"/>
                <w:sz w:val="22"/>
                <w:szCs w:val="22"/>
              </w:rPr>
              <w:t xml:space="preserve">, encoding three fundamental polarities: </w:t>
            </w:r>
            <w:r>
              <w:rPr>
                <w:rFonts w:ascii="Cambria" w:cs="Cambria" w:eastAsia="Cambria" w:hAnsi="Cambria"/>
                <w:b/>
                <w:bCs/>
                <w:i w:val="false"/>
                <w:iCs w:val="false"/>
                <w:strike w:val="false"/>
                <w:color w:val="1A1A1A"/>
                <w:sz w:val="22"/>
                <w:szCs w:val="22"/>
              </w:rPr>
              <w:t xml:space="preserve">Deminu</w:t>
            </w:r>
            <w:r>
              <w:rPr>
                <w:rFonts w:ascii="Cambria" w:cs="Cambria" w:eastAsia="Cambria" w:hAnsi="Cambria"/>
                <w:b w:val="false"/>
                <w:bCs w:val="false"/>
                <w:i w:val="false"/>
                <w:iCs w:val="false"/>
                <w:strike w:val="false"/>
                <w:color w:val="1A1A1A"/>
                <w:sz w:val="22"/>
                <w:szCs w:val="22"/>
              </w:rPr>
              <w:t xml:space="preserve"> (descending / shadow), </w:t>
            </w:r>
            <w:r>
              <w:rPr>
                <w:rFonts w:ascii="Cambria" w:cs="Cambria" w:eastAsia="Cambria" w:hAnsi="Cambria"/>
                <w:b/>
                <w:bCs/>
                <w:i w:val="false"/>
                <w:iCs w:val="false"/>
                <w:strike w:val="false"/>
                <w:color w:val="1A1A1A"/>
                <w:sz w:val="22"/>
                <w:szCs w:val="22"/>
              </w:rPr>
              <w:t xml:space="preserve">Neutral</w:t>
            </w:r>
            <w:r>
              <w:rPr>
                <w:rFonts w:ascii="Cambria" w:cs="Cambria" w:eastAsia="Cambria" w:hAnsi="Cambria"/>
                <w:b w:val="false"/>
                <w:bCs w:val="false"/>
                <w:i w:val="false"/>
                <w:iCs w:val="false"/>
                <w:strike w:val="false"/>
                <w:color w:val="1A1A1A"/>
                <w:sz w:val="22"/>
                <w:szCs w:val="22"/>
              </w:rPr>
              <w:t xml:space="preserve"> (balanced / still), or </w:t>
            </w:r>
            <w:r>
              <w:rPr>
                <w:rFonts w:ascii="Cambria" w:cs="Cambria" w:eastAsia="Cambria" w:hAnsi="Cambria"/>
                <w:b/>
                <w:bCs/>
                <w:i w:val="false"/>
                <w:iCs w:val="false"/>
                <w:strike w:val="false"/>
                <w:color w:val="1A1A1A"/>
                <w:sz w:val="22"/>
                <w:szCs w:val="22"/>
              </w:rPr>
              <w:t xml:space="preserve">Angelu</w:t>
            </w:r>
            <w:r>
              <w:rPr>
                <w:rFonts w:ascii="Cambria" w:cs="Cambria" w:eastAsia="Cambria" w:hAnsi="Cambria"/>
                <w:b w:val="false"/>
                <w:bCs w:val="false"/>
                <w:i w:val="false"/>
                <w:iCs w:val="false"/>
                <w:strike w:val="false"/>
                <w:color w:val="1A1A1A"/>
                <w:sz w:val="22"/>
                <w:szCs w:val="22"/>
              </w:rPr>
              <w:t xml:space="preserve"> (ascending / light).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III — Activity.</w:t>
            </w:r>
            <w:r>
              <w:rPr>
                <w:rFonts w:ascii="Cambria" w:cs="Cambria" w:eastAsia="Cambria" w:hAnsi="Cambria"/>
                <w:b w:val="false"/>
                <w:bCs w:val="false"/>
                <w:i w:val="false"/>
                <w:iCs w:val="false"/>
                <w:strike w:val="false"/>
                <w:color w:val="1A1A1A"/>
                <w:sz w:val="22"/>
                <w:szCs w:val="22"/>
              </w:rPr>
              <w:t xml:space="preserve"> Of the 96 paths, </w:t>
            </w:r>
            <w:r>
              <w:rPr>
                <w:rFonts w:ascii="Cambria" w:cs="Cambria" w:eastAsia="Cambria" w:hAnsi="Cambria"/>
                <w:b/>
                <w:bCs/>
                <w:i w:val="false"/>
                <w:iCs w:val="false"/>
                <w:strike w:val="false"/>
                <w:color w:val="1A1A1A"/>
                <w:sz w:val="22"/>
                <w:szCs w:val="22"/>
              </w:rPr>
              <w:t xml:space="preserve">86 are Active</w:t>
            </w:r>
            <w:r>
              <w:rPr>
                <w:rFonts w:ascii="Cambria" w:cs="Cambria" w:eastAsia="Cambria" w:hAnsi="Cambria"/>
                <w:b w:val="false"/>
                <w:bCs w:val="false"/>
                <w:i w:val="false"/>
                <w:iCs w:val="false"/>
                <w:strike w:val="false"/>
                <w:color w:val="1A1A1A"/>
                <w:sz w:val="22"/>
                <w:szCs w:val="22"/>
              </w:rPr>
              <w:t xml:space="preserve"> (participating in the lattice dynamics) and </w:t>
            </w:r>
            <w:r>
              <w:rPr>
                <w:rFonts w:ascii="Cambria" w:cs="Cambria" w:eastAsia="Cambria" w:hAnsi="Cambria"/>
                <w:b/>
                <w:bCs/>
                <w:i w:val="false"/>
                <w:iCs w:val="false"/>
                <w:strike w:val="false"/>
                <w:color w:val="1A1A1A"/>
                <w:sz w:val="22"/>
                <w:szCs w:val="22"/>
              </w:rPr>
              <w:t xml:space="preserve">10 are Latent/Dormant</w:t>
            </w:r>
            <w:r>
              <w:rPr>
                <w:rFonts w:ascii="Cambria" w:cs="Cambria" w:eastAsia="Cambria" w:hAnsi="Cambria"/>
                <w:b w:val="false"/>
                <w:bCs w:val="false"/>
                <w:i w:val="false"/>
                <w:iCs w:val="false"/>
                <w:strike w:val="false"/>
                <w:color w:val="1A1A1A"/>
                <w:sz w:val="22"/>
                <w:szCs w:val="22"/>
              </w:rPr>
              <w:t xml:space="preserve"> (carrying state value 0 with potential for future activation). Dormant paths are distinguished from Neutral paths by their latency designation, though both carry the numerical value zero.</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IV — Guardian Sovereignty.</w:t>
            </w:r>
            <w:r>
              <w:rPr>
                <w:rFonts w:ascii="Cambria" w:cs="Cambria" w:eastAsia="Cambria" w:hAnsi="Cambria"/>
                <w:b w:val="false"/>
                <w:bCs w:val="false"/>
                <w:i w:val="false"/>
                <w:iCs w:val="false"/>
                <w:strike w:val="false"/>
                <w:color w:val="1A1A1A"/>
                <w:sz w:val="22"/>
                <w:szCs w:val="22"/>
              </w:rPr>
              <w:t xml:space="preserve"> Five Guardians preside over contiguous angular domains, each governing approximately one-fifth of the circle. Every path falls under the primary jurisdiction of exactly one Guardian, though secondary influence from adjacent Guardians may extend into boundary regions.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V — Lattice Hierarchy.</w:t>
            </w:r>
            <w:r>
              <w:rPr>
                <w:rFonts w:ascii="Cambria" w:cs="Cambria" w:eastAsia="Cambria" w:hAnsi="Cambria"/>
                <w:b w:val="false"/>
                <w:bCs w:val="false"/>
                <w:i w:val="false"/>
                <w:iCs w:val="false"/>
                <w:strike w:val="false"/>
                <w:color w:val="1A1A1A"/>
                <w:sz w:val="22"/>
                <w:szCs w:val="22"/>
              </w:rPr>
              <w:t xml:space="preserve"> Paths are grouped into </w:t>
            </w:r>
            <w:r>
              <w:rPr>
                <w:rFonts w:ascii="Cambria" w:cs="Cambria" w:eastAsia="Cambria" w:hAnsi="Cambria"/>
                <w:b/>
                <w:bCs/>
                <w:i w:val="false"/>
                <w:iCs w:val="false"/>
                <w:strike w:val="false"/>
                <w:color w:val="1A1A1A"/>
                <w:sz w:val="22"/>
                <w:szCs w:val="22"/>
              </w:rPr>
              <w:t xml:space="preserve">32 Triads</w:t>
            </w:r>
            <w:r>
              <w:rPr>
                <w:rFonts w:ascii="Cambria" w:cs="Cambria" w:eastAsia="Cambria" w:hAnsi="Cambria"/>
                <w:b w:val="false"/>
                <w:bCs w:val="false"/>
                <w:i w:val="false"/>
                <w:iCs w:val="false"/>
                <w:strike w:val="false"/>
                <w:color w:val="1A1A1A"/>
                <w:sz w:val="22"/>
                <w:szCs w:val="22"/>
              </w:rPr>
              <w:t xml:space="preserve"> (groups of 3 consecutive paths) and </w:t>
            </w:r>
            <w:r>
              <w:rPr>
                <w:rFonts w:ascii="Cambria" w:cs="Cambria" w:eastAsia="Cambria" w:hAnsi="Cambria"/>
                <w:b/>
                <w:bCs/>
                <w:i w:val="false"/>
                <w:iCs w:val="false"/>
                <w:strike w:val="false"/>
                <w:color w:val="1A1A1A"/>
                <w:sz w:val="22"/>
                <w:szCs w:val="22"/>
              </w:rPr>
              <w:t xml:space="preserve">16 Hexagrams</w:t>
            </w:r>
            <w:r>
              <w:rPr>
                <w:rFonts w:ascii="Cambria" w:cs="Cambria" w:eastAsia="Cambria" w:hAnsi="Cambria"/>
                <w:b w:val="false"/>
                <w:bCs w:val="false"/>
                <w:i w:val="false"/>
                <w:iCs w:val="false"/>
                <w:strike w:val="false"/>
                <w:color w:val="1A1A1A"/>
                <w:sz w:val="22"/>
                <w:szCs w:val="22"/>
              </w:rPr>
              <w:t xml:space="preserve"> (groups of 6 consecutive paths / 2 consecutive Triads), forming a two-tier combinatorial lattice that permits analysis at multiple scales of resolution.</w:t>
            </w:r>
          </w:p>
        </w:tc>
      </w:tr>
    </w:tbl>
    <w:p>
      <w:pPr>
        <w:spacing w:after="240" w:before="0"/>
      </w:pPr>
    </w:p>
    <w:p>
      <w:pPr>
        <w:pStyle w:val="Heading2"/>
        <w:spacing w:after="100" w:before="480" w:line="384" w:lineRule="auto"/>
      </w:pPr>
      <w:r>
        <w:rPr>
          <w:rFonts w:ascii="Cambria" w:cs="Cambria" w:eastAsia="Cambria" w:hAnsi="Cambria"/>
          <w:color w:val="8B6914"/>
          <w:sz w:val="28"/>
          <w:szCs w:val="28"/>
        </w:rPr>
        <w:t xml:space="preserve">B.2   The Trinary State Vector</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complete configuration of the Codex at any given moment is captured by a single mathematical object: the </w:t>
      </w:r>
      <w:r>
        <w:rPr>
          <w:rFonts w:ascii="Cambria" w:cs="Cambria" w:eastAsia="Cambria" w:hAnsi="Cambria"/>
          <w:b/>
          <w:bCs/>
          <w:i w:val="false"/>
          <w:iCs w:val="false"/>
          <w:strike w:val="false"/>
          <w:color w:val="1A1A1A"/>
          <w:sz w:val="22"/>
          <w:szCs w:val="22"/>
        </w:rPr>
        <w:t xml:space="preserve">state vector</w:t>
      </w:r>
      <w:r>
        <w:rPr>
          <w:rFonts w:ascii="Cambria" w:cs="Cambria" w:eastAsia="Cambria" w:hAnsi="Cambria"/>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state vector is the ordered 96-tuple:</w:t>
            </w:r>
          </w:p>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S = (s</w:t>
            </w:r>
            <w:r>
              <w:rPr>
                <w:rFonts w:ascii="Cambria" w:cs="Cambria" w:eastAsia="Cambria" w:hAnsi="Cambria"/>
                <w:b w:val="false"/>
                <w:bCs w:val="false"/>
                <w:i/>
                <w:iCs/>
                <w:strike w:val="false"/>
                <w:color w:val="1A1A1A"/>
                <w:sz w:val="22"/>
                <w:szCs w:val="22"/>
                <w:vertAlign w:val="subscript"/>
              </w:rPr>
              <w:t xml:space="preserve">1</w:t>
            </w:r>
            <w:r>
              <w:rPr>
                <w:rFonts w:ascii="Cambria Math" w:cs="Cambria Math" w:eastAsia="Cambria Math" w:hAnsi="Cambria Math"/>
                <w:b w:val="false"/>
                <w:bCs w:val="false"/>
                <w:i/>
                <w:iCs/>
                <w:strike w:val="false"/>
                <w:color w:val="1A1A1A"/>
                <w:sz w:val="22"/>
                <w:szCs w:val="22"/>
              </w:rPr>
              <w:t xml:space="preserve">, s</w:t>
            </w:r>
            <w:r>
              <w:rPr>
                <w:rFonts w:ascii="Cambria" w:cs="Cambria" w:eastAsia="Cambria" w:hAnsi="Cambria"/>
                <w:b w:val="false"/>
                <w:bCs w:val="false"/>
                <w:i/>
                <w:iCs/>
                <w:strike w:val="false"/>
                <w:color w:val="1A1A1A"/>
                <w:sz w:val="22"/>
                <w:szCs w:val="22"/>
                <w:vertAlign w:val="subscript"/>
              </w:rPr>
              <w:t xml:space="preserve">2</w:t>
            </w:r>
            <w:r>
              <w:rPr>
                <w:rFonts w:ascii="Cambria Math" w:cs="Cambria Math" w:eastAsia="Cambria Math" w:hAnsi="Cambria Math"/>
                <w:b w:val="false"/>
                <w:bCs w:val="false"/>
                <w:i/>
                <w:iCs/>
                <w:strike w:val="false"/>
                <w:color w:val="1A1A1A"/>
                <w:sz w:val="22"/>
                <w:szCs w:val="22"/>
              </w:rPr>
              <w:t xml:space="preserve">, …, s</w:t>
            </w:r>
            <w:r>
              <w:rPr>
                <w:rFonts w:ascii="Cambria" w:cs="Cambria" w:eastAsia="Cambria" w:hAnsi="Cambria"/>
                <w:b w:val="false"/>
                <w:bCs w:val="false"/>
                <w:i/>
                <w:iCs/>
                <w:strike w:val="false"/>
                <w:color w:val="1A1A1A"/>
                <w:sz w:val="22"/>
                <w:szCs w:val="22"/>
                <w:vertAlign w:val="subscript"/>
              </w:rPr>
              <w:t xml:space="preserve">96</w:t>
            </w:r>
            <w:r>
              <w:rPr>
                <w:rFonts w:ascii="Cambria Math" w:cs="Cambria Math" w:eastAsia="Cambria Math" w:hAnsi="Cambria Math"/>
                <w:b w:val="false"/>
                <w:bCs w:val="false"/>
                <w:i/>
                <w:iCs/>
                <w:strike w:val="false"/>
                <w:color w:val="1A1A1A"/>
                <w:sz w:val="22"/>
                <w:szCs w:val="22"/>
              </w:rPr>
              <w:t xml:space="preserv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where each component </w:t>
            </w:r>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w:cs="Cambria" w:eastAsia="Cambria" w:hAnsi="Cambria"/>
                <w:b w:val="false"/>
                <w:bCs w:val="false"/>
                <w:i w:val="false"/>
                <w:iCs w:val="false"/>
                <w:strike w:val="false"/>
                <w:color w:val="1A1A1A"/>
                <w:sz w:val="22"/>
                <w:szCs w:val="22"/>
              </w:rPr>
              <w:t xml:space="preserve"> takes values from the </w:t>
            </w:r>
            <w:r>
              <w:rPr>
                <w:rFonts w:ascii="Cambria" w:cs="Cambria" w:eastAsia="Cambria" w:hAnsi="Cambria"/>
                <w:b/>
                <w:bCs/>
                <w:i w:val="false"/>
                <w:iCs w:val="false"/>
                <w:strike w:val="false"/>
                <w:color w:val="1A1A1A"/>
                <w:sz w:val="22"/>
                <w:szCs w:val="22"/>
              </w:rPr>
              <w:t xml:space="preserve">trinary alphabet</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1A1A1A"/>
                <w:sz w:val="22"/>
                <w:szCs w:val="22"/>
              </w:rPr>
              <w:t xml:space="preserve">T = {−1, 0, +1}</w:t>
            </w:r>
            <w:r>
              <w:rPr>
                <w:rFonts w:ascii="Cambria" w:cs="Cambria" w:eastAsia="Cambria" w:hAnsi="Cambria"/>
                <w:b w:val="false"/>
                <w:bCs w:val="false"/>
                <w:i w:val="false"/>
                <w:iCs w:val="false"/>
                <w:strike w:val="false"/>
                <w:color w:val="1A1A1A"/>
                <w:sz w:val="22"/>
                <w:szCs w:val="22"/>
              </w:rPr>
              <w:t xml:space="preserve">.</w:t>
            </w:r>
          </w:p>
        </w:tc>
      </w:tr>
    </w:tbl>
    <w:p>
      <w:pPr>
        <w:spacing w:after="240" w:before="0"/>
      </w:pPr>
    </w:p>
    <w:p>
      <w:pPr>
        <w:pStyle w:val="Heading3"/>
        <w:spacing w:after="80" w:before="280" w:line="384" w:lineRule="auto"/>
      </w:pPr>
      <w:r>
        <w:rPr>
          <w:rFonts w:ascii="Cambria" w:cs="Cambria" w:eastAsia="Cambria" w:hAnsi="Cambria"/>
          <w:color w:val="6B5210"/>
          <w:sz w:val="24"/>
          <w:szCs w:val="24"/>
        </w:rPr>
        <w:t xml:space="preserve">Polarity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Polarity</w:t>
            </w:r>
          </w:p>
        </w:tc>
        <w:tc>
          <w:tcPr>
            <w:tcW w:type="pct" w:w="1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Symbol</w:t>
            </w:r>
          </w:p>
        </w:tc>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Value</w:t>
            </w:r>
          </w:p>
        </w:tc>
        <w:tc>
          <w:tcPr>
            <w:tcW w:type="pct" w:w="4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Signification</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Angelu</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   ▲</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+1</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Ascending force, expansion, illumination</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Deminu</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   ▼</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−1</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Descending force, contraction, shadow</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Neutral</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   ●</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0</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Equilibrium, stillness, balance</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Dormant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0</w:t>
            </w:r>
            <w:r>
              <w:rPr>
                <w:rFonts w:ascii="Cambria" w:cs="Cambria" w:eastAsia="Cambria" w:hAnsi="Cambria"/>
                <w:b w:val="false"/>
                <w:bCs w:val="false"/>
                <w:i w:val="false"/>
                <w:iCs w:val="false"/>
                <w:strike w:val="false"/>
                <w:color w:val="1A1A1A"/>
                <w:sz w:val="22"/>
                <w:szCs w:val="22"/>
              </w:rPr>
              <w:t xml:space="preserve"> (latent)</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Potential unrealized, awaiting activation</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Vector Properties</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aggregate properties characterize the current state of the Codex lattice: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Property</w:t>
            </w:r>
          </w:p>
        </w:tc>
        <w:tc>
          <w:tcPr>
            <w:tcW w:type="pct" w:w="3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Formula</w:t>
            </w:r>
          </w:p>
        </w:tc>
        <w:tc>
          <w:tcPr>
            <w:tcW w:type="pct" w:w="3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Current Value</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Total State Sum</w:t>
            </w:r>
          </w:p>
        </w:tc>
        <w:tc>
          <w:tcPr>
            <w:tcW w:type="pct" w:w="39%"/>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Σ(s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k = 1..96</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+30 − 28 = </w:t>
            </w:r>
            <w:r>
              <w:rPr>
                <w:rFonts w:ascii="Cambria" w:cs="Cambria" w:eastAsia="Cambria" w:hAnsi="Cambria"/>
                <w:b/>
                <w:bCs/>
                <w:i w:val="false"/>
                <w:iCs w:val="false"/>
                <w:strike w:val="false"/>
                <w:color w:val="1A1A1A"/>
                <w:sz w:val="22"/>
                <w:szCs w:val="22"/>
              </w:rPr>
              <w:t xml:space="preserve">+2</w:t>
            </w:r>
            <w:r>
              <w:rPr>
                <w:rFonts w:ascii="Cambria" w:cs="Cambria" w:eastAsia="Cambria" w:hAnsi="Cambria"/>
                <w:b w:val="false"/>
                <w:bCs w:val="false"/>
                <w:i w:val="false"/>
                <w:iCs w:val="false"/>
                <w:strike w:val="false"/>
                <w:color w:val="1A1A1A"/>
                <w:sz w:val="22"/>
                <w:szCs w:val="22"/>
              </w:rPr>
              <w:t xml:space="preserve"> (net Angelu lean)</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Hamming Weight</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Number of non-zero active states</w:t>
            </w:r>
          </w:p>
        </w:tc>
        <w:tc>
          <w:tcPr>
            <w:tcW w:type="pct" w:w="38%"/>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58</w:t>
            </w:r>
            <w:r>
              <w:rPr>
                <w:rFonts w:ascii="Cambria" w:cs="Cambria" w:eastAsia="Cambria" w:hAnsi="Cambria"/>
                <w:b w:val="false"/>
                <w:bCs w:val="false"/>
                <w:i w:val="false"/>
                <w:iCs w:val="false"/>
                <w:strike w:val="false"/>
                <w:color w:val="1A1A1A"/>
                <w:sz w:val="22"/>
                <w:szCs w:val="22"/>
              </w:rPr>
              <w:t xml:space="preserve"> (30 Angelu + 28 Deminu)</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Vector Norm</w:t>
            </w:r>
          </w:p>
        </w:tc>
        <w:tc>
          <w:tcPr>
            <w:tcW w:type="pct" w:w="39%"/>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||S||² = Σ(s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²)</w:t>
            </w:r>
          </w:p>
        </w:tc>
        <w:tc>
          <w:tcPr>
            <w:tcW w:type="pct" w:w="38%"/>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58</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Polarity Ratio</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 : D : N : L</w:t>
            </w:r>
          </w:p>
        </w:tc>
        <w:tc>
          <w:tcPr>
            <w:tcW w:type="pct" w:w="38%"/>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30 : 28 : 28 : 10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net state sum of </w:t>
      </w:r>
      <w:r>
        <w:rPr>
          <w:rFonts w:ascii="Cambria" w:cs="Cambria" w:eastAsia="Cambria" w:hAnsi="Cambria"/>
          <w:b/>
          <w:bCs/>
          <w:i w:val="false"/>
          <w:iCs w:val="false"/>
          <w:strike w:val="false"/>
          <w:color w:val="1A1A1A"/>
          <w:sz w:val="22"/>
          <w:szCs w:val="22"/>
        </w:rPr>
        <w:t xml:space="preserve">+2</w:t>
      </w:r>
      <w:r>
        <w:rPr>
          <w:rFonts w:ascii="Cambria" w:cs="Cambria" w:eastAsia="Cambria" w:hAnsi="Cambria"/>
          <w:b w:val="false"/>
          <w:bCs w:val="false"/>
          <w:i w:val="false"/>
          <w:iCs w:val="false"/>
          <w:strike w:val="false"/>
          <w:color w:val="1A1A1A"/>
          <w:sz w:val="22"/>
          <w:szCs w:val="22"/>
        </w:rPr>
        <w:t xml:space="preserve"> indicates a marginal but measurable lean toward the ascending principle—a system not at perfect equilibrium but hovering in a state of near-balance with the faintest luminous bias.</w:t>
      </w:r>
    </w:p>
    <w:p>
      <w:pPr>
        <w:pStyle w:val="Heading2"/>
        <w:spacing w:after="100" w:before="480" w:line="384" w:lineRule="auto"/>
      </w:pPr>
      <w:r>
        <w:rPr>
          <w:rFonts w:ascii="Cambria" w:cs="Cambria" w:eastAsia="Cambria" w:hAnsi="Cambria"/>
          <w:color w:val="8B6914"/>
          <w:sz w:val="28"/>
          <w:szCs w:val="28"/>
        </w:rPr>
        <w:t xml:space="preserve">B.3   Angular Spacing and Path Geometry</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angular distribution of the 96 paths follows from a single division:</w:t>
      </w:r>
    </w:p>
    <w:p>
      <w:pPr>
        <w:spacing w:after="240" w:before="60" w:line="384" w:lineRule="auto"/>
        <w:jc w:val="center"/>
      </w:pPr>
      <w:r>
        <w:rPr>
          <w:rFonts w:ascii="Cambria Math" w:cs="Cambria Math" w:eastAsia="Cambria Math" w:hAnsi="Cambria Math"/>
          <w:b w:val="false"/>
          <w:bCs w:val="false"/>
          <w:i/>
          <w:iCs/>
          <w:strike w:val="false"/>
          <w:color w:val="1A1A1A"/>
          <w:sz w:val="22"/>
          <w:szCs w:val="22"/>
        </w:rPr>
        <w:t xml:space="preserve">360° ÷ 96 = 3.75°</w:t>
      </w:r>
      <w:r>
        <w:rPr>
          <w:rFonts w:ascii="Cambria" w:cs="Cambria" w:eastAsia="Cambria" w:hAnsi="Cambria"/>
          <w:b w:val="false"/>
          <w:bCs w:val="false"/>
          <w:i w:val="false"/>
          <w:iCs w:val="false"/>
          <w:strike w:val="false"/>
          <w:color w:val="1A1A1A"/>
          <w:sz w:val="22"/>
          <w:szCs w:val="22"/>
        </w:rPr>
        <w:t xml:space="preserve"> per path</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angular position of the </w:t>
      </w:r>
      <w:r>
        <w:rPr>
          <w:rFonts w:ascii="Cambria Math" w:cs="Cambria Math" w:eastAsia="Cambria Math" w:hAnsi="Cambria Math"/>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2"/>
          <w:szCs w:val="22"/>
        </w:rPr>
        <w:t xml:space="preserve">-th path is given by the formula:</w:t>
      </w:r>
    </w:p>
    <w:p>
      <w:pPr>
        <w:spacing w:after="240" w:before="60" w:line="384" w:lineRule="auto"/>
        <w:jc w:val="center"/>
      </w:pP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(k − 1) × 3.75°</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Thus Path 1 sits at 0°, Path 2 at 3.75°, Path 3 at 7.5°, and so forth, with Path 96 occupying 356.25°—precisely 3.75° before the return to the origin.</w:t>
      </w:r>
    </w:p>
    <w:p>
      <w:pPr>
        <w:pStyle w:val="Heading3"/>
        <w:spacing w:after="80" w:before="280" w:line="384" w:lineRule="auto"/>
      </w:pPr>
      <w:r>
        <w:rPr>
          <w:rFonts w:ascii="Cambria" w:cs="Cambria" w:eastAsia="Cambria" w:hAnsi="Cambria"/>
          <w:color w:val="6B5210"/>
          <w:sz w:val="24"/>
          <w:szCs w:val="24"/>
        </w:rPr>
        <w:t xml:space="preserve">Geometric Properties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Regular 96-gon.</w:t>
      </w:r>
      <w:r>
        <w:rPr>
          <w:rFonts w:ascii="Cambria" w:cs="Cambria" w:eastAsia="Cambria" w:hAnsi="Cambria"/>
          <w:b w:val="false"/>
          <w:bCs w:val="false"/>
          <w:i w:val="false"/>
          <w:iCs w:val="false"/>
          <w:strike w:val="false"/>
          <w:color w:val="1A1A1A"/>
          <w:sz w:val="22"/>
          <w:szCs w:val="22"/>
        </w:rPr>
        <w:t xml:space="preserve"> The paths form the vertices of a regular 96-gon inscribed in the unit circle.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Cartesian coordinates.</w:t>
      </w:r>
      <w:r>
        <w:rPr>
          <w:rFonts w:ascii="Cambria" w:cs="Cambria" w:eastAsia="Cambria" w:hAnsi="Cambria"/>
          <w:b w:val="false"/>
          <w:bCs w:val="false"/>
          <w:i w:val="false"/>
          <w:iCs w:val="false"/>
          <w:strike w:val="false"/>
          <w:color w:val="1A1A1A"/>
          <w:sz w:val="22"/>
          <w:szCs w:val="22"/>
        </w:rPr>
        <w:t xml:space="preserve"> Each path may be located on the plane by: </w:t>
      </w:r>
      <w:r>
        <w:rPr>
          <w:rFonts w:ascii="Cambria Math" w:cs="Cambria Math" w:eastAsia="Cambria Math" w:hAnsi="Cambria Math"/>
          <w:b w:val="false"/>
          <w:bCs w:val="false"/>
          <w:i/>
          <w:iCs/>
          <w:strike w:val="false"/>
          <w:color w:val="1A1A1A"/>
          <w:sz w:val="22"/>
          <w:szCs w:val="22"/>
        </w:rPr>
        <w:t xml:space="preserve">x</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cos(θ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1A1A1A"/>
          <w:sz w:val="22"/>
          <w:szCs w:val="22"/>
        </w:rPr>
        <w:t xml:space="preserve">y</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sin(θ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Diametric opposition.</w:t>
      </w:r>
      <w:r>
        <w:rPr>
          <w:rFonts w:ascii="Cambria" w:cs="Cambria" w:eastAsia="Cambria" w:hAnsi="Cambria"/>
          <w:b w:val="false"/>
          <w:bCs w:val="false"/>
          <w:i w:val="false"/>
          <w:iCs w:val="false"/>
          <w:strike w:val="false"/>
          <w:color w:val="1A1A1A"/>
          <w:sz w:val="22"/>
          <w:szCs w:val="22"/>
        </w:rPr>
        <w:t xml:space="preserve"> Path </w:t>
      </w:r>
      <w:r>
        <w:rPr>
          <w:rFonts w:ascii="Cambria Math" w:cs="Cambria Math" w:eastAsia="Cambria Math" w:hAnsi="Cambria Math"/>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2"/>
          <w:szCs w:val="22"/>
        </w:rPr>
        <w:t xml:space="preserve"> and Path </w:t>
      </w:r>
      <w:r>
        <w:rPr>
          <w:rFonts w:ascii="Cambria Math" w:cs="Cambria Math" w:eastAsia="Cambria Math" w:hAnsi="Cambria Math"/>
          <w:b w:val="false"/>
          <w:bCs w:val="false"/>
          <w:i/>
          <w:iCs/>
          <w:strike w:val="false"/>
          <w:color w:val="1A1A1A"/>
          <w:sz w:val="22"/>
          <w:szCs w:val="22"/>
        </w:rPr>
        <w:t xml:space="preserve">(k + 48)</w:t>
      </w:r>
      <w:r>
        <w:rPr>
          <w:rFonts w:ascii="Cambria" w:cs="Cambria" w:eastAsia="Cambria" w:hAnsi="Cambria"/>
          <w:b w:val="false"/>
          <w:bCs w:val="false"/>
          <w:i w:val="false"/>
          <w:iCs w:val="false"/>
          <w:strike w:val="false"/>
          <w:color w:val="1A1A1A"/>
          <w:sz w:val="22"/>
          <w:szCs w:val="22"/>
        </w:rPr>
        <w:t xml:space="preserve"> are separated by exactly 180°, forming a diametrically opposite pair. There are 48 such pairs.</w:t>
      </w:r>
    </w:p>
    <w:p>
      <w:pPr>
        <w:pStyle w:val="Heading3"/>
        <w:spacing w:after="80" w:before="280" w:line="384" w:lineRule="auto"/>
      </w:pPr>
      <w:r>
        <w:rPr>
          <w:rFonts w:ascii="Cambria" w:cs="Cambria" w:eastAsia="Cambria" w:hAnsi="Cambria"/>
          <w:color w:val="6B5210"/>
          <w:sz w:val="24"/>
          <w:szCs w:val="24"/>
        </w:rPr>
        <w:t xml:space="preserve">Quadrant Distribution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Quadrant</w:t>
            </w:r>
          </w:p>
        </w:tc>
        <w:tc>
          <w:tcPr>
            <w:tcW w:type="pct" w:w="2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Paths</w:t>
            </w:r>
          </w:p>
        </w:tc>
        <w:tc>
          <w:tcPr>
            <w:tcW w:type="pct" w:w="34%"/>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Angular Range</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Q1 (Upper Right)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1–24</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0° – 86.25°</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Q2 (Upper Left)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25–48</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90° – 176.25°</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Q3 (Lower Left)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49–72</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180° – 266.25°</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Q4 (Lower Right)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73–96</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270° – 356.25°</w:t>
            </w:r>
          </w:p>
        </w:tc>
      </w:tr>
    </w:tbl>
    <w:p>
      <w:pPr>
        <w:spacing w:after="200" w:before="0"/>
      </w:pPr>
    </w:p>
    <w:p>
      <w:pPr>
        <w:pStyle w:val="Heading2"/>
        <w:spacing w:after="100" w:before="480" w:line="384" w:lineRule="auto"/>
      </w:pPr>
      <w:r>
        <w:rPr>
          <w:rFonts w:ascii="Cambria" w:cs="Cambria" w:eastAsia="Cambria" w:hAnsi="Cambria"/>
          <w:color w:val="8B6914"/>
          <w:sz w:val="28"/>
          <w:szCs w:val="28"/>
        </w:rPr>
        <w:t xml:space="preserve">B.4   Polarity Encoding — Angelu, Deminu, and Neutral</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three polarities are not merely labels but constitute the ontological categories of the Codex. Each embodies a principle that operates at every scale of the lattice, from the individual path to the Hexagram to the Guardian domain.</w:t>
      </w:r>
    </w:p>
    <w:p>
      <w:pPr>
        <w:pStyle w:val="Heading3"/>
        <w:spacing w:after="80" w:before="280" w:line="384" w:lineRule="auto"/>
      </w:pPr>
      <w:r>
        <w:rPr>
          <w:rFonts w:ascii="Cambria" w:cs="Cambria" w:eastAsia="Cambria" w:hAnsi="Cambria"/>
          <w:color w:val="6B5210"/>
          <w:sz w:val="24"/>
          <w:szCs w:val="24"/>
        </w:rPr>
        <w:t xml:space="preserve">Angelu   (sk = +1)</w:t>
      </w:r>
    </w:p>
    <w:p>
      <w:pPr>
        <w:spacing w:after="240" w:before="60" w:line="384" w:lineRule="auto"/>
        <w:jc w:val="both"/>
      </w:pPr>
      <w:r>
        <w:rPr>
          <w:rFonts w:ascii="Cambria" w:cs="Cambria" w:eastAsia="Cambria" w:hAnsi="Cambria"/>
          <w:b/>
          <w:bCs/>
          <w:i w:val="false"/>
          <w:iCs w:val="false"/>
          <w:strike w:val="false"/>
          <w:color w:val="1A1A1A"/>
          <w:sz w:val="22"/>
          <w:szCs w:val="22"/>
        </w:rPr>
        <w:t xml:space="preserve">The Ascending Principle.</w:t>
      </w:r>
      <w:r>
        <w:rPr>
          <w:rFonts w:ascii="Cambria" w:cs="Cambria" w:eastAsia="Cambria" w:hAnsi="Cambria"/>
          <w:b w:val="false"/>
          <w:bCs w:val="false"/>
          <w:i w:val="false"/>
          <w:iCs w:val="false"/>
          <w:strike w:val="false"/>
          <w:color w:val="1A1A1A"/>
          <w:sz w:val="22"/>
          <w:szCs w:val="22"/>
        </w:rPr>
        <w:t xml:space="preserve"> Associated with expansion, creation, and luminous force. Symbolized by ⊕ or ▲. When Angelu is the dominant polarity in a Triad or Hexagram, the grouping exhibits </w:t>
      </w:r>
      <w:r>
        <w:rPr>
          <w:rFonts w:ascii="Cambria" w:cs="Cambria" w:eastAsia="Cambria" w:hAnsi="Cambria"/>
          <w:b w:val="false"/>
          <w:bCs w:val="false"/>
          <w:i/>
          <w:iCs/>
          <w:strike w:val="false"/>
          <w:color w:val="1A1A1A"/>
          <w:sz w:val="22"/>
          <w:szCs w:val="22"/>
        </w:rPr>
        <w:t xml:space="preserve">generative properties</w:t>
      </w:r>
      <w:r>
        <w:rPr>
          <w:rFonts w:ascii="Cambria" w:cs="Cambria" w:eastAsia="Cambria" w:hAnsi="Cambria"/>
          <w:b w:val="false"/>
          <w:bCs w:val="false"/>
          <w:i w:val="false"/>
          <w:iCs w:val="false"/>
          <w:strike w:val="false"/>
          <w:color w:val="1A1A1A"/>
          <w:sz w:val="22"/>
          <w:szCs w:val="22"/>
        </w:rPr>
        <w:t xml:space="preserve">—it tends toward creation, outward radiation, and the amplification of pattern. Angelu paths are the radiant nodes of the lattice, each one a point of positive emission.</w:t>
      </w:r>
    </w:p>
    <w:p>
      <w:pPr>
        <w:pStyle w:val="Heading3"/>
        <w:spacing w:after="80" w:before="280" w:line="384" w:lineRule="auto"/>
      </w:pPr>
      <w:r>
        <w:rPr>
          <w:rFonts w:ascii="Cambria" w:cs="Cambria" w:eastAsia="Cambria" w:hAnsi="Cambria"/>
          <w:color w:val="6B5210"/>
          <w:sz w:val="24"/>
          <w:szCs w:val="24"/>
        </w:rPr>
        <w:t xml:space="preserve">Deminu   (sk = −1)</w:t>
      </w:r>
    </w:p>
    <w:p>
      <w:pPr>
        <w:spacing w:after="240" w:before="60" w:line="384" w:lineRule="auto"/>
        <w:jc w:val="both"/>
      </w:pPr>
      <w:r>
        <w:rPr>
          <w:rFonts w:ascii="Cambria" w:cs="Cambria" w:eastAsia="Cambria" w:hAnsi="Cambria"/>
          <w:b/>
          <w:bCs/>
          <w:i w:val="false"/>
          <w:iCs w:val="false"/>
          <w:strike w:val="false"/>
          <w:color w:val="1A1A1A"/>
          <w:sz w:val="22"/>
          <w:szCs w:val="22"/>
        </w:rPr>
        <w:t xml:space="preserve">The Descending Principle.</w:t>
      </w:r>
      <w:r>
        <w:rPr>
          <w:rFonts w:ascii="Cambria" w:cs="Cambria" w:eastAsia="Cambria" w:hAnsi="Cambria"/>
          <w:b w:val="false"/>
          <w:bCs w:val="false"/>
          <w:i w:val="false"/>
          <w:iCs w:val="false"/>
          <w:strike w:val="false"/>
          <w:color w:val="1A1A1A"/>
          <w:sz w:val="22"/>
          <w:szCs w:val="22"/>
        </w:rPr>
        <w:t xml:space="preserve"> Associated with contraction, dissolution, and shadow force. Symbolized by ⊖ or ▼. When dominant, the grouping exhibits </w:t>
      </w:r>
      <w:r>
        <w:rPr>
          <w:rFonts w:ascii="Cambria" w:cs="Cambria" w:eastAsia="Cambria" w:hAnsi="Cambria"/>
          <w:b w:val="false"/>
          <w:bCs w:val="false"/>
          <w:i/>
          <w:iCs/>
          <w:strike w:val="false"/>
          <w:color w:val="1A1A1A"/>
          <w:sz w:val="22"/>
          <w:szCs w:val="22"/>
        </w:rPr>
        <w:t xml:space="preserve">transformative and reductive properties</w:t>
      </w:r>
      <w:r>
        <w:rPr>
          <w:rFonts w:ascii="Cambria" w:cs="Cambria" w:eastAsia="Cambria" w:hAnsi="Cambria"/>
          <w:b w:val="false"/>
          <w:bCs w:val="false"/>
          <w:i w:val="false"/>
          <w:iCs w:val="false"/>
          <w:strike w:val="false"/>
          <w:color w:val="1A1A1A"/>
          <w:sz w:val="22"/>
          <w:szCs w:val="22"/>
        </w:rPr>
        <w:t xml:space="preserve">—it tends toward dissolution, inward compression, and the breaking of existing patterns so that new configurations may emerge. Deminu is not destruction for its own sake; it is the necessary precondition for renewal.</w:t>
      </w:r>
    </w:p>
    <w:p>
      <w:pPr>
        <w:pStyle w:val="Heading3"/>
        <w:spacing w:after="80" w:before="280" w:line="384" w:lineRule="auto"/>
      </w:pPr>
      <w:r>
        <w:rPr>
          <w:rFonts w:ascii="Cambria" w:cs="Cambria" w:eastAsia="Cambria" w:hAnsi="Cambria"/>
          <w:color w:val="6B5210"/>
          <w:sz w:val="24"/>
          <w:szCs w:val="24"/>
        </w:rPr>
        <w:t xml:space="preserve">Neutral   (sk = 0)</w:t>
      </w:r>
    </w:p>
    <w:p>
      <w:pPr>
        <w:spacing w:after="240" w:before="60" w:line="384" w:lineRule="auto"/>
        <w:jc w:val="both"/>
      </w:pPr>
      <w:r>
        <w:rPr>
          <w:rFonts w:ascii="Cambria" w:cs="Cambria" w:eastAsia="Cambria" w:hAnsi="Cambria"/>
          <w:b/>
          <w:bCs/>
          <w:i w:val="false"/>
          <w:iCs w:val="false"/>
          <w:strike w:val="false"/>
          <w:color w:val="1A1A1A"/>
          <w:sz w:val="22"/>
          <w:szCs w:val="22"/>
        </w:rPr>
        <w:t xml:space="preserve">The Equilibrium Principle.</w:t>
      </w:r>
      <w:r>
        <w:rPr>
          <w:rFonts w:ascii="Cambria" w:cs="Cambria" w:eastAsia="Cambria" w:hAnsi="Cambria"/>
          <w:b w:val="false"/>
          <w:bCs w:val="false"/>
          <w:i w:val="false"/>
          <w:iCs w:val="false"/>
          <w:strike w:val="false"/>
          <w:color w:val="1A1A1A"/>
          <w:sz w:val="22"/>
          <w:szCs w:val="22"/>
        </w:rPr>
        <w:t xml:space="preserve"> Associated with stillness, observation, and potential. Symbolized by ○ or ●. Neutral paths serve as </w:t>
      </w:r>
      <w:r>
        <w:rPr>
          <w:rFonts w:ascii="Cambria" w:cs="Cambria" w:eastAsia="Cambria" w:hAnsi="Cambria"/>
          <w:b w:val="false"/>
          <w:bCs w:val="false"/>
          <w:i/>
          <w:iCs/>
          <w:strike w:val="false"/>
          <w:color w:val="1A1A1A"/>
          <w:sz w:val="22"/>
          <w:szCs w:val="22"/>
        </w:rPr>
        <w:t xml:space="preserve">pivot points and phase boundaries</w:t>
      </w:r>
      <w:r>
        <w:rPr>
          <w:rFonts w:ascii="Cambria" w:cs="Cambria" w:eastAsia="Cambria" w:hAnsi="Cambria"/>
          <w:b w:val="false"/>
          <w:bCs w:val="false"/>
          <w:i w:val="false"/>
          <w:iCs w:val="false"/>
          <w:strike w:val="false"/>
          <w:color w:val="1A1A1A"/>
          <w:sz w:val="22"/>
          <w:szCs w:val="22"/>
        </w:rPr>
        <w:t xml:space="preserve"> within the lattice. They absorb neither expand nor contract, but hold space—functioning as the silent architecture that allows polarity transitions to occur smoothly between adjacent regions of opposing charge.</w:t>
      </w:r>
    </w:p>
    <w:p>
      <w:pPr>
        <w:pStyle w:val="Heading3"/>
        <w:spacing w:after="80" w:before="280" w:line="384" w:lineRule="auto"/>
      </w:pPr>
      <w:r>
        <w:rPr>
          <w:rFonts w:ascii="Cambria" w:cs="Cambria" w:eastAsia="Cambria" w:hAnsi="Cambria"/>
          <w:color w:val="6B5210"/>
          <w:sz w:val="24"/>
          <w:szCs w:val="24"/>
        </w:rPr>
        <w:t xml:space="preserve">Distribution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Polarity</w:t>
            </w:r>
          </w:p>
        </w:tc>
        <w:tc>
          <w:tcPr>
            <w:tcW w:type="pct" w:w="1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Count</w:t>
            </w:r>
          </w:p>
        </w:tc>
        <w:tc>
          <w:tcPr>
            <w:tcW w:type="pct" w:w="16%"/>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Percentage</w:t>
            </w:r>
          </w:p>
        </w:tc>
        <w:tc>
          <w:tcPr>
            <w:tcW w:type="pct" w:w="5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Role</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Angelu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30</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31.25%</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Ascending / generative nodes</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Deminu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29.17%</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Descending / transformative nodes</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Neutral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29.17%</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Equilibrium / pivot nodes</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Dormant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10.42%</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Latent potential / sealed nodes</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near-equilibrium between Angelu (30) and Deminu (28) produces a net lean of </w:t>
      </w:r>
      <w:r>
        <w:rPr>
          <w:rFonts w:ascii="Cambria" w:cs="Cambria" w:eastAsia="Cambria" w:hAnsi="Cambria"/>
          <w:b/>
          <w:bCs/>
          <w:i w:val="false"/>
          <w:iCs w:val="false"/>
          <w:strike w:val="false"/>
          <w:color w:val="1A1A1A"/>
          <w:sz w:val="22"/>
          <w:szCs w:val="22"/>
        </w:rPr>
        <w:t xml:space="preserve">+2</w:t>
      </w:r>
      <w:r>
        <w:rPr>
          <w:rFonts w:ascii="Cambria" w:cs="Cambria" w:eastAsia="Cambria" w:hAnsi="Cambria"/>
          <w:b w:val="false"/>
          <w:bCs w:val="false"/>
          <w:i w:val="false"/>
          <w:iCs w:val="false"/>
          <w:strike w:val="false"/>
          <w:color w:val="1A1A1A"/>
          <w:sz w:val="22"/>
          <w:szCs w:val="22"/>
        </w:rPr>
        <w:t xml:space="preserve"> toward the ascending principle. This marginal surplus is significant within the Codex’s interpretive framework: the lattice is not perfectly balanced but carries a whisper of luminous bias—a system poised between symmetry and the faintest tilt toward creation.</w:t>
      </w:r>
    </w:p>
    <w:p>
      <w:pPr>
        <w:pStyle w:val="Heading2"/>
        <w:spacing w:after="100" w:before="480" w:line="384" w:lineRule="auto"/>
      </w:pPr>
      <w:r>
        <w:rPr>
          <w:rFonts w:ascii="Cambria" w:cs="Cambria" w:eastAsia="Cambria" w:hAnsi="Cambria"/>
          <w:color w:val="8B6914"/>
          <w:sz w:val="28"/>
          <w:szCs w:val="28"/>
        </w:rPr>
        <w:t xml:space="preserve">B.5   Guardian Influence Functions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Five Guardians preside over the circle, each sovereign within a contiguous angular domain. Their names, titles, and jurisdictions are defined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Title</w:t>
            </w:r>
          </w:p>
        </w:tc>
        <w:tc>
          <w:tcPr>
            <w:tcW w:type="pct" w:w="1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Center (</w:t>
            </w:r>
            <w:r>
              <w:rPr>
                <w:rFonts w:ascii="Cambria Math" w:cs="Cambria Math" w:eastAsia="Cambria Math" w:hAnsi="Cambria Math"/>
                <w:b/>
                <w:bCs/>
                <w:i/>
                <w:iCs/>
                <w:strike w:val="false"/>
                <w:color w:val="4A3C10"/>
                <w:sz w:val="22"/>
                <w:szCs w:val="22"/>
              </w:rPr>
              <w:t xml:space="preserve">θ</w:t>
            </w:r>
            <w:r>
              <w:rPr>
                <w:rFonts w:ascii="Cambria" w:cs="Cambria" w:eastAsia="Cambria" w:hAnsi="Cambria"/>
                <w:b/>
                <w:bCs/>
                <w:i/>
                <w:iCs/>
                <w:strike w:val="false"/>
                <w:color w:val="4A3C10"/>
                <w:sz w:val="22"/>
                <w:szCs w:val="22"/>
                <w:vertAlign w:val="subscript"/>
              </w:rPr>
              <w:t xml:space="preserve">X</w:t>
            </w:r>
            <w:r>
              <w:rPr>
                <w:rFonts w:ascii="Cambria" w:cs="Cambria" w:eastAsia="Cambria" w:hAnsi="Cambria"/>
                <w:b/>
                <w:bCs/>
                <w:i w:val="false"/>
                <w:iCs w:val="false"/>
                <w:strike w:val="false"/>
                <w:color w:val="4A3C10"/>
                <w:sz w:val="22"/>
                <w:szCs w:val="22"/>
              </w:rPr>
              <w:t xml:space="preserve">)</w:t>
            </w:r>
          </w:p>
        </w:tc>
        <w:tc>
          <w:tcPr>
            <w:tcW w:type="pct" w:w="2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Domain</w:t>
            </w:r>
          </w:p>
        </w:tc>
        <w:tc>
          <w:tcPr>
            <w:tcW w:type="pct" w:w="1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Paths</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Lion</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The Sovereign</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33.75°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0° – 67.5°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 – 19</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Phoenix</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Rebirth</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108.75°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71.25° – 142.5°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20 – 38</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Dragon</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Wisdom</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176.25°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142.5° – 213.75°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39 – 57</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Owl</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Sight</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247.5°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213.75° – 285°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58 – 76</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Raven</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Passage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320.625°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285° – 356.25°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77 – 96</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The Influence Function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Guardian radiates influence according to a smooth, symmetric envelope centered on its angular position. The </w:t>
      </w:r>
      <w:r>
        <w:rPr>
          <w:rFonts w:ascii="Cambria" w:cs="Cambria" w:eastAsia="Cambria" w:hAnsi="Cambria"/>
          <w:b/>
          <w:bCs/>
          <w:i w:val="false"/>
          <w:iCs w:val="false"/>
          <w:strike w:val="false"/>
          <w:color w:val="1A1A1A"/>
          <w:sz w:val="22"/>
          <w:szCs w:val="22"/>
        </w:rPr>
        <w:t xml:space="preserve">Guardian Influence Function</w:t>
      </w:r>
      <w:r>
        <w:rPr>
          <w:rFonts w:ascii="Cambria" w:cs="Cambria" w:eastAsia="Cambria" w:hAnsi="Cambria"/>
          <w:b w:val="false"/>
          <w:bCs w:val="false"/>
          <w:i w:val="false"/>
          <w:iCs w:val="false"/>
          <w:strike w:val="false"/>
          <w:color w:val="1A1A1A"/>
          <w:sz w:val="22"/>
          <w:szCs w:val="22"/>
        </w:rPr>
        <w:t xml:space="preserve">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G</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(θ) = cos²(π × d / 144°)</w:t>
            </w:r>
            <w:r>
              <w:rPr>
                <w:rFonts w:ascii="Cambria" w:cs="Cambria" w:eastAsia="Cambria" w:hAnsi="Cambria"/>
                <w:b w:val="false"/>
                <w:bCs w:val="false"/>
                <w:i w:val="false"/>
                <w:iCs w:val="false"/>
                <w:strike w:val="false"/>
                <w:color w:val="1A1A1A"/>
                <w:sz w:val="22"/>
                <w:szCs w:val="22"/>
              </w:rPr>
              <w:t xml:space="preserve">,   when </w:t>
            </w:r>
            <w:r>
              <w:rPr>
                <w:rFonts w:ascii="Cambria Math" w:cs="Cambria Math" w:eastAsia="Cambria Math" w:hAnsi="Cambria Math"/>
                <w:b w:val="false"/>
                <w:bCs w:val="false"/>
                <w:i/>
                <w:iCs/>
                <w:strike w:val="false"/>
                <w:color w:val="1A1A1A"/>
                <w:sz w:val="22"/>
                <w:szCs w:val="22"/>
              </w:rPr>
              <w:t xml:space="preserve">d ≤ 72°</w:t>
            </w:r>
            <w:r>
              <w:rPr>
                <w:rFonts w:ascii="Cambria" w:cs="Cambria" w:eastAsia="Cambria" w:hAnsi="Cambria"/>
                <w:b w:val="false"/>
                <w:bCs w:val="false"/>
                <w:i w:val="false"/>
                <w:iCs w:val="false"/>
                <w:strike w:val="false"/>
                <w:color w:val="1A1A1A"/>
                <w:sz w:val="22"/>
                <w:szCs w:val="22"/>
              </w:rPr>
              <w:t xml:space="preserve">;   </w:t>
            </w:r>
            <w:r>
              <w:rPr>
                <w:rFonts w:ascii="Cambria" w:cs="Cambria" w:eastAsia="Cambria" w:hAnsi="Cambria"/>
                <w:b/>
                <w:bCs/>
                <w:i w:val="false"/>
                <w:iCs w:val="false"/>
                <w:strike w:val="false"/>
                <w:color w:val="1A1A1A"/>
                <w:sz w:val="22"/>
                <w:szCs w:val="22"/>
              </w:rPr>
              <w:t xml:space="preserve">0</w:t>
            </w:r>
            <w:r>
              <w:rPr>
                <w:rFonts w:ascii="Cambria" w:cs="Cambria" w:eastAsia="Cambria" w:hAnsi="Cambria"/>
                <w:b w:val="false"/>
                <w:bCs w:val="false"/>
                <w:i w:val="false"/>
                <w:iCs w:val="false"/>
                <w:strike w:val="false"/>
                <w:color w:val="1A1A1A"/>
                <w:sz w:val="22"/>
                <w:szCs w:val="22"/>
              </w:rPr>
              <w:t xml:space="preserve"> otherwise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where </w:t>
            </w:r>
            <w:r>
              <w:rPr>
                <w:rFonts w:ascii="Cambria Math" w:cs="Cambria Math" w:eastAsia="Cambria Math" w:hAnsi="Cambria Math"/>
                <w:b w:val="false"/>
                <w:bCs w:val="false"/>
                <w:i/>
                <w:iCs/>
                <w:strike w:val="false"/>
                <w:color w:val="1A1A1A"/>
                <w:sz w:val="22"/>
                <w:szCs w:val="22"/>
              </w:rPr>
              <w:t xml:space="preserve">d = min(|θ − θ</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   360° − |θ − θ</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is the shortest angular distance from path angle </w:t>
            </w: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val="false"/>
                <w:iCs w:val="false"/>
                <w:strike w:val="false"/>
                <w:color w:val="1A1A1A"/>
                <w:sz w:val="22"/>
                <w:szCs w:val="22"/>
              </w:rPr>
              <w:t xml:space="preserve"> to Guardian center </w:t>
            </w: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X</w:t>
            </w:r>
            <w:r>
              <w:rPr>
                <w:rFonts w:ascii="Cambria" w:cs="Cambria" w:eastAsia="Cambria" w:hAnsi="Cambria"/>
                <w:b w:val="false"/>
                <w:bCs w:val="false"/>
                <w:i w:val="false"/>
                <w:iCs w:val="false"/>
                <w:strike w:val="false"/>
                <w:color w:val="1A1A1A"/>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Guardian’s influence peaks at </w:t>
      </w:r>
      <w:r>
        <w:rPr>
          <w:rFonts w:ascii="Cambria" w:cs="Cambria" w:eastAsia="Cambria" w:hAnsi="Cambria"/>
          <w:b/>
          <w:bCs/>
          <w:i w:val="false"/>
          <w:iCs w:val="false"/>
          <w:strike w:val="false"/>
          <w:color w:val="1A1A1A"/>
          <w:sz w:val="22"/>
          <w:szCs w:val="22"/>
        </w:rPr>
        <w:t xml:space="preserve">1.0</w:t>
      </w:r>
      <w:r>
        <w:rPr>
          <w:rFonts w:ascii="Cambria" w:cs="Cambria" w:eastAsia="Cambria" w:hAnsi="Cambria"/>
          <w:b w:val="false"/>
          <w:bCs w:val="false"/>
          <w:i w:val="false"/>
          <w:iCs w:val="false"/>
          <w:strike w:val="false"/>
          <w:color w:val="1A1A1A"/>
          <w:sz w:val="22"/>
          <w:szCs w:val="22"/>
        </w:rPr>
        <w:t xml:space="preserve"> at its center and decays smoothly via a cosine-squared envelope, reaching zero at ±72° from center. Because adjacent Guardian centers are separated by less than 144°, their influence envelopes overlap at domain boundaries, creating zones of shared or contested sovereignty—the </w:t>
      </w:r>
      <w:r>
        <w:rPr>
          <w:rFonts w:ascii="Cambria" w:cs="Cambria" w:eastAsia="Cambria" w:hAnsi="Cambria"/>
          <w:b w:val="false"/>
          <w:bCs w:val="false"/>
          <w:i/>
          <w:iCs/>
          <w:strike w:val="false"/>
          <w:color w:val="1A1A1A"/>
          <w:sz w:val="22"/>
          <w:szCs w:val="22"/>
        </w:rPr>
        <w:t xml:space="preserve">liminal thresholds</w:t>
      </w:r>
      <w:r>
        <w:rPr>
          <w:rFonts w:ascii="Cambria" w:cs="Cambria" w:eastAsia="Cambria" w:hAnsi="Cambria"/>
          <w:b w:val="false"/>
          <w:bCs w:val="false"/>
          <w:i w:val="false"/>
          <w:iCs w:val="false"/>
          <w:strike w:val="false"/>
          <w:color w:val="1A1A1A"/>
          <w:sz w:val="22"/>
          <w:szCs w:val="22"/>
        </w:rPr>
        <w:t xml:space="preserve"> of the Codex.</w:t>
      </w:r>
    </w:p>
    <w:p>
      <w:pPr>
        <w:pStyle w:val="Heading3"/>
        <w:spacing w:after="80" w:before="280" w:line="384" w:lineRule="auto"/>
      </w:pPr>
      <w:r>
        <w:rPr>
          <w:rFonts w:ascii="Cambria" w:cs="Cambria" w:eastAsia="Cambria" w:hAnsi="Cambria"/>
          <w:color w:val="6B5210"/>
          <w:sz w:val="24"/>
          <w:szCs w:val="24"/>
        </w:rPr>
        <w:t xml:space="preserve">Guardian Domain 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c>
          <w:tcPr>
            <w:tcW w:type="pct" w:w="1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Paths</w:t>
            </w:r>
          </w:p>
        </w:tc>
        <w:tc>
          <w:tcPr>
            <w:tcW w:type="pct" w:w="1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Active</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Latent</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Angelu</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Deminu</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Neutral</w:t>
            </w:r>
          </w:p>
        </w:tc>
        <w:tc>
          <w:tcPr>
            <w:tcW w:type="pct" w:w="1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Net State</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Lion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18</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8</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+3</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Phoenix</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9</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4</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4</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+5</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Dragon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−2</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Owl</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0</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Raven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20</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−4</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A clear gradient emerges: the ascending domains (Lion, Phoenix) carry positive net states, while the descending domains (Dragon, Raven) carry negative ones. The Owl sits at perfect equilibrium—befitting its role as the Guardian of Sight, the impartial observer. The Raven’s domain holds the deepest shadow and the greatest concentration of dormant potential.</w:t>
      </w:r>
    </w:p>
    <w:p>
      <w:pPr>
        <w:pStyle w:val="Heading2"/>
        <w:spacing w:after="100" w:before="480" w:line="384" w:lineRule="auto"/>
      </w:pPr>
      <w:r>
        <w:rPr>
          <w:rFonts w:ascii="Cambria" w:cs="Cambria" w:eastAsia="Cambria" w:hAnsi="Cambria"/>
          <w:color w:val="8B6914"/>
          <w:sz w:val="28"/>
          <w:szCs w:val="28"/>
        </w:rPr>
        <w:t xml:space="preserve">B.6   Lattice Geometry — Triads and Hexagrams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96 paths are not only individually significant but also participate in a two-tier lattice hierarchy that enables analysis at multiple scales. This hierarchy consists of </w:t>
      </w:r>
      <w:r>
        <w:rPr>
          <w:rFonts w:ascii="Cambria" w:cs="Cambria" w:eastAsia="Cambria" w:hAnsi="Cambria"/>
          <w:b/>
          <w:bCs/>
          <w:i w:val="false"/>
          <w:iCs w:val="false"/>
          <w:strike w:val="false"/>
          <w:color w:val="1A1A1A"/>
          <w:sz w:val="22"/>
          <w:szCs w:val="22"/>
        </w:rPr>
        <w:t xml:space="preserve">Triads</w:t>
      </w:r>
      <w:r>
        <w:rPr>
          <w:rFonts w:ascii="Cambria" w:cs="Cambria" w:eastAsia="Cambria" w:hAnsi="Cambria"/>
          <w:b w:val="false"/>
          <w:bCs w:val="false"/>
          <w:i w:val="false"/>
          <w:iCs w:val="false"/>
          <w:strike w:val="false"/>
          <w:color w:val="1A1A1A"/>
          <w:sz w:val="22"/>
          <w:szCs w:val="22"/>
        </w:rPr>
        <w:t xml:space="preserve"> (the fine structure) and </w:t>
      </w:r>
      <w:r>
        <w:rPr>
          <w:rFonts w:ascii="Cambria" w:cs="Cambria" w:eastAsia="Cambria" w:hAnsi="Cambria"/>
          <w:b/>
          <w:bCs/>
          <w:i w:val="false"/>
          <w:iCs w:val="false"/>
          <w:strike w:val="false"/>
          <w:color w:val="1A1A1A"/>
          <w:sz w:val="22"/>
          <w:szCs w:val="22"/>
        </w:rPr>
        <w:t xml:space="preserve">Hexagrams</w:t>
      </w:r>
      <w:r>
        <w:rPr>
          <w:rFonts w:ascii="Cambria" w:cs="Cambria" w:eastAsia="Cambria" w:hAnsi="Cambria"/>
          <w:b w:val="false"/>
          <w:bCs w:val="false"/>
          <w:i w:val="false"/>
          <w:iCs w:val="false"/>
          <w:strike w:val="false"/>
          <w:color w:val="1A1A1A"/>
          <w:sz w:val="22"/>
          <w:szCs w:val="22"/>
        </w:rPr>
        <w:t xml:space="preserve"> (the coarse structure).</w:t>
      </w:r>
    </w:p>
    <w:p>
      <w:pPr>
        <w:pStyle w:val="Heading3"/>
        <w:spacing w:after="80" w:before="280" w:line="384" w:lineRule="auto"/>
      </w:pPr>
      <w:r>
        <w:rPr>
          <w:rFonts w:ascii="Cambria" w:cs="Cambria" w:eastAsia="Cambria" w:hAnsi="Cambria"/>
          <w:color w:val="6B5210"/>
          <w:sz w:val="24"/>
          <w:szCs w:val="24"/>
        </w:rPr>
        <w:t xml:space="preserve">Triads (32 Total)</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Triad groups </w:t>
      </w:r>
      <w:r>
        <w:rPr>
          <w:rFonts w:ascii="Cambria" w:cs="Cambria" w:eastAsia="Cambria" w:hAnsi="Cambria"/>
          <w:b/>
          <w:bCs/>
          <w:i w:val="false"/>
          <w:iCs w:val="false"/>
          <w:strike w:val="false"/>
          <w:color w:val="1A1A1A"/>
          <w:sz w:val="22"/>
          <w:szCs w:val="22"/>
        </w:rPr>
        <w:t xml:space="preserve">3 consecutive paths</w:t>
      </w:r>
      <w:r>
        <w:rPr>
          <w:rFonts w:ascii="Cambria" w:cs="Cambria" w:eastAsia="Cambria" w:hAnsi="Cambria"/>
          <w:b w:val="false"/>
          <w:bCs w:val="false"/>
          <w:i w:val="false"/>
          <w:iCs w:val="false"/>
          <w:strike w:val="false"/>
          <w:color w:val="1A1A1A"/>
          <w:sz w:val="22"/>
          <w:szCs w:val="22"/>
        </w:rPr>
        <w:t xml:space="preserve"> sharing an 11.25° arc of the circle. The </w:t>
      </w:r>
      <w:r>
        <w:rPr>
          <w:rFonts w:ascii="Cambria Math" w:cs="Cambria Math" w:eastAsia="Cambria Math" w:hAnsi="Cambria Math"/>
          <w:b w:val="false"/>
          <w:bCs w:val="false"/>
          <w:i/>
          <w:iCs/>
          <w:strike w:val="false"/>
          <w:color w:val="1A1A1A"/>
          <w:sz w:val="22"/>
          <w:szCs w:val="22"/>
        </w:rPr>
        <w:t xml:space="preserve">n</w:t>
      </w:r>
      <w:r>
        <w:rPr>
          <w:rFonts w:ascii="Cambria" w:cs="Cambria" w:eastAsia="Cambria" w:hAnsi="Cambria"/>
          <w:b w:val="false"/>
          <w:bCs w:val="false"/>
          <w:i w:val="false"/>
          <w:iCs w:val="false"/>
          <w:strike w:val="false"/>
          <w:color w:val="1A1A1A"/>
          <w:sz w:val="22"/>
          <w:szCs w:val="22"/>
        </w:rPr>
        <w:t xml:space="preserve">-th Triad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T</w:t>
            </w:r>
            <w:r>
              <w:rPr>
                <w:rFonts w:ascii="Cambria" w:cs="Cambria" w:eastAsia="Cambria" w:hAnsi="Cambria"/>
                <w:b w:val="false"/>
                <w:bCs w:val="false"/>
                <w:i/>
                <w:iCs/>
                <w:strike w:val="false"/>
                <w:color w:val="1A1A1A"/>
                <w:sz w:val="22"/>
                <w:szCs w:val="22"/>
                <w:vertAlign w:val="subscript"/>
              </w:rPr>
              <w:t xml:space="preserve">n</w:t>
            </w:r>
            <w:r>
              <w:rPr>
                <w:rFonts w:ascii="Cambria Math" w:cs="Cambria Math" w:eastAsia="Cambria Math" w:hAnsi="Cambria Math"/>
                <w:b w:val="false"/>
                <w:bCs w:val="false"/>
                <w:i/>
                <w:iCs/>
                <w:strike w:val="false"/>
                <w:color w:val="1A1A1A"/>
                <w:sz w:val="22"/>
                <w:szCs w:val="22"/>
              </w:rPr>
              <w:t xml:space="preserve"> = {Path(3n − 2),   Path(3n − 1),   Path(3n)}</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n ∈ {1, 2, …, 32}</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Triad possesses the following computed properties: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Net State Value:</w:t>
      </w:r>
      <w:r>
        <w:rPr>
          <w:rFonts w:ascii="Cambria" w:cs="Cambria" w:eastAsia="Cambria" w:hAnsi="Cambria"/>
          <w:b w:val="false"/>
          <w:bCs w:val="false"/>
          <w:i w:val="false"/>
          <w:iCs w:val="false"/>
          <w:strike w:val="false"/>
          <w:color w:val="1A1A1A"/>
          <w:sz w:val="22"/>
          <w:szCs w:val="22"/>
        </w:rPr>
        <w:t xml:space="preserve"> The sum of its three component state values, </w:t>
      </w:r>
      <w:r>
        <w:rPr>
          <w:rFonts w:ascii="Cambria Math" w:cs="Cambria Math" w:eastAsia="Cambria Math" w:hAnsi="Cambria Math"/>
          <w:b w:val="false"/>
          <w:bCs w:val="false"/>
          <w:i/>
          <w:iCs/>
          <w:strike w:val="false"/>
          <w:color w:val="1A1A1A"/>
          <w:sz w:val="22"/>
          <w:szCs w:val="22"/>
        </w:rPr>
        <w:t xml:space="preserve">Σ(s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for the three paths. Range: −3 to +3.</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Dominant Polarity:</w:t>
      </w:r>
      <w:r>
        <w:rPr>
          <w:rFonts w:ascii="Cambria" w:cs="Cambria" w:eastAsia="Cambria" w:hAnsi="Cambria"/>
          <w:b w:val="false"/>
          <w:bCs w:val="false"/>
          <w:i w:val="false"/>
          <w:iCs w:val="false"/>
          <w:strike w:val="false"/>
          <w:color w:val="1A1A1A"/>
          <w:sz w:val="22"/>
          <w:szCs w:val="22"/>
        </w:rPr>
        <w:t xml:space="preserve"> Angelu-dominant if Net &gt; 0; Deminu-dominant if Net &lt; 0; Balanced if Net = 0.</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Activity Level:</w:t>
      </w:r>
      <w:r>
        <w:rPr>
          <w:rFonts w:ascii="Cambria" w:cs="Cambria" w:eastAsia="Cambria" w:hAnsi="Cambria"/>
          <w:b w:val="false"/>
          <w:bCs w:val="false"/>
          <w:i w:val="false"/>
          <w:iCs w:val="false"/>
          <w:strike w:val="false"/>
          <w:color w:val="1A1A1A"/>
          <w:sz w:val="22"/>
          <w:szCs w:val="22"/>
        </w:rPr>
        <w:t xml:space="preserve"> The count of active (non-dormant) paths within the Triad (0 to 3).</w:t>
      </w:r>
    </w:p>
    <w:p>
      <w:pPr>
        <w:pStyle w:val="Heading3"/>
        <w:spacing w:after="80" w:before="280" w:line="384" w:lineRule="auto"/>
      </w:pPr>
      <w:r>
        <w:rPr>
          <w:rFonts w:ascii="Cambria" w:cs="Cambria" w:eastAsia="Cambria" w:hAnsi="Cambria"/>
          <w:color w:val="6B5210"/>
          <w:sz w:val="24"/>
          <w:szCs w:val="24"/>
        </w:rPr>
        <w:t xml:space="preserve">Hexagrams (16 Total, Numbered I–XVI)</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Hexagram groups </w:t>
      </w:r>
      <w:r>
        <w:rPr>
          <w:rFonts w:ascii="Cambria" w:cs="Cambria" w:eastAsia="Cambria" w:hAnsi="Cambria"/>
          <w:b/>
          <w:bCs/>
          <w:i w:val="false"/>
          <w:iCs w:val="false"/>
          <w:strike w:val="false"/>
          <w:color w:val="1A1A1A"/>
          <w:sz w:val="22"/>
          <w:szCs w:val="22"/>
        </w:rPr>
        <w:t xml:space="preserve">6 consecutive paths</w:t>
      </w:r>
      <w:r>
        <w:rPr>
          <w:rFonts w:ascii="Cambria" w:cs="Cambria" w:eastAsia="Cambria" w:hAnsi="Cambria"/>
          <w:b w:val="false"/>
          <w:bCs w:val="false"/>
          <w:i w:val="false"/>
          <w:iCs w:val="false"/>
          <w:strike w:val="false"/>
          <w:color w:val="1A1A1A"/>
          <w:sz w:val="22"/>
          <w:szCs w:val="22"/>
        </w:rPr>
        <w:t xml:space="preserve"> (equivalently, 2 consecutive Triads), spanning a 22.5° arc. The </w:t>
      </w:r>
      <w:r>
        <w:rPr>
          <w:rFonts w:ascii="Cambria Math" w:cs="Cambria Math" w:eastAsia="Cambria Math" w:hAnsi="Cambria Math"/>
          <w:b w:val="false"/>
          <w:bCs w:val="false"/>
          <w:i/>
          <w:iCs/>
          <w:strike w:val="false"/>
          <w:color w:val="1A1A1A"/>
          <w:sz w:val="22"/>
          <w:szCs w:val="22"/>
        </w:rPr>
        <w:t xml:space="preserve">m</w:t>
      </w:r>
      <w:r>
        <w:rPr>
          <w:rFonts w:ascii="Cambria" w:cs="Cambria" w:eastAsia="Cambria" w:hAnsi="Cambria"/>
          <w:b w:val="false"/>
          <w:bCs w:val="false"/>
          <w:i w:val="false"/>
          <w:iCs w:val="false"/>
          <w:strike w:val="false"/>
          <w:color w:val="1A1A1A"/>
          <w:sz w:val="22"/>
          <w:szCs w:val="22"/>
        </w:rPr>
        <w:t xml:space="preserve">-th Hexagram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H</w:t>
            </w:r>
            <w:r>
              <w:rPr>
                <w:rFonts w:ascii="Cambria" w:cs="Cambria" w:eastAsia="Cambria" w:hAnsi="Cambria"/>
                <w:b w:val="false"/>
                <w:bCs w:val="false"/>
                <w:i/>
                <w:iCs/>
                <w:strike w:val="false"/>
                <w:color w:val="1A1A1A"/>
                <w:sz w:val="22"/>
                <w:szCs w:val="22"/>
                <w:vertAlign w:val="subscript"/>
              </w:rPr>
              <w:t xml:space="preserve">m</w:t>
            </w:r>
            <w:r>
              <w:rPr>
                <w:rFonts w:ascii="Cambria Math" w:cs="Cambria Math" w:eastAsia="Cambria Math" w:hAnsi="Cambria Math"/>
                <w:b w:val="false"/>
                <w:bCs w:val="false"/>
                <w:i/>
                <w:iCs/>
                <w:strike w:val="false"/>
                <w:color w:val="1A1A1A"/>
                <w:sz w:val="22"/>
                <w:szCs w:val="22"/>
              </w:rPr>
              <w:t xml:space="preserve"> = {Path(6m − 5),   Path(6m − 4),   …,   Path(6m)}</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m ∈ {1, 2, …, 16}</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Hexagrams are classified by their </w:t>
      </w:r>
      <w:r>
        <w:rPr>
          <w:rFonts w:ascii="Cambria" w:cs="Cambria" w:eastAsia="Cambria" w:hAnsi="Cambria"/>
          <w:b/>
          <w:bCs/>
          <w:i w:val="false"/>
          <w:iCs w:val="false"/>
          <w:strike w:val="false"/>
          <w:color w:val="1A1A1A"/>
          <w:sz w:val="22"/>
          <w:szCs w:val="22"/>
        </w:rPr>
        <w:t xml:space="preserve">Polarity Balance</w:t>
      </w:r>
      <w:r>
        <w:rPr>
          <w:rFonts w:ascii="Cambria" w:cs="Cambria" w:eastAsia="Cambria" w:hAnsi="Cambria"/>
          <w:b w:val="false"/>
          <w:bCs w:val="false"/>
          <w:i w:val="false"/>
          <w:iCs w:val="false"/>
          <w:strike w:val="false"/>
          <w:color w:val="1A1A1A"/>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Classification</w:t>
            </w:r>
          </w:p>
        </w:tc>
        <w:tc>
          <w:tcPr>
            <w:tcW w:type="pct" w:w="2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Condition</w:t>
            </w:r>
          </w:p>
        </w:tc>
        <w:tc>
          <w:tcPr>
            <w:tcW w:type="pct" w:w="5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Interpretation</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Angelu-dominant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Net State Value &gt; 0</w:t>
            </w:r>
          </w:p>
        </w:tc>
        <w:tc>
          <w:tcPr>
            <w:tcW w:type="pct" w:w="5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Generative sector; expanding influence</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Deminu-dominant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Net State Value &lt; 0</w:t>
            </w:r>
          </w:p>
        </w:tc>
        <w:tc>
          <w:tcPr>
            <w:tcW w:type="pct" w:w="5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Transformative sector; dissolving influence</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Balanced</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Net State Value = 0</w:t>
            </w:r>
          </w:p>
        </w:tc>
        <w:tc>
          <w:tcPr>
            <w:tcW w:type="pct" w:w="5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Equilibrium sector; static or transitional</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The Dual Interpretation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lattice admits two simultaneous readings. Viewed as </w:t>
      </w:r>
      <w:r>
        <w:rPr>
          <w:rFonts w:ascii="Cambria" w:cs="Cambria" w:eastAsia="Cambria" w:hAnsi="Cambria"/>
          <w:b/>
          <w:bCs/>
          <w:i w:val="false"/>
          <w:iCs w:val="false"/>
          <w:strike w:val="false"/>
          <w:color w:val="1A1A1A"/>
          <w:sz w:val="22"/>
          <w:szCs w:val="22"/>
        </w:rPr>
        <w:t xml:space="preserve">32 Triads</w:t>
      </w:r>
      <w:r>
        <w:rPr>
          <w:rFonts w:ascii="Cambria" w:cs="Cambria" w:eastAsia="Cambria" w:hAnsi="Cambria"/>
          <w:b w:val="false"/>
          <w:bCs w:val="false"/>
          <w:i w:val="false"/>
          <w:iCs w:val="false"/>
          <w:strike w:val="false"/>
          <w:color w:val="1A1A1A"/>
          <w:sz w:val="22"/>
          <w:szCs w:val="22"/>
        </w:rPr>
        <w:t xml:space="preserve">, the circle reveals its fine-grained texture—local polarities, micro-transitions, and the smallest meaningful unit of combinatorial structure. Viewed as </w:t>
      </w:r>
      <w:r>
        <w:rPr>
          <w:rFonts w:ascii="Cambria" w:cs="Cambria" w:eastAsia="Cambria" w:hAnsi="Cambria"/>
          <w:b/>
          <w:bCs/>
          <w:i w:val="false"/>
          <w:iCs w:val="false"/>
          <w:strike w:val="false"/>
          <w:color w:val="1A1A1A"/>
          <w:sz w:val="22"/>
          <w:szCs w:val="22"/>
        </w:rPr>
        <w:t xml:space="preserve">16 Hexagrams</w:t>
      </w:r>
      <w:r>
        <w:rPr>
          <w:rFonts w:ascii="Cambria" w:cs="Cambria" w:eastAsia="Cambria" w:hAnsi="Cambria"/>
          <w:b w:val="false"/>
          <w:bCs w:val="false"/>
          <w:i w:val="false"/>
          <w:iCs w:val="false"/>
          <w:strike w:val="false"/>
          <w:color w:val="1A1A1A"/>
          <w:sz w:val="22"/>
          <w:szCs w:val="22"/>
        </w:rPr>
        <w:t xml:space="preserve">, the circle reveals its macro-architecture—broad sectors of dominance, large-scale polarity gradients, and the emergent symmetries that govern the system’s behavior at the level of Guardian domains. The two perspectives are complementary; neither is complete without the other.</w:t>
      </w:r>
    </w:p>
    <w:p>
      <w:pPr>
        <w:pStyle w:val="Heading2"/>
        <w:spacing w:after="100" w:before="480" w:line="384" w:lineRule="auto"/>
      </w:pPr>
      <w:r>
        <w:rPr>
          <w:rFonts w:ascii="Cambria" w:cs="Cambria" w:eastAsia="Cambria" w:hAnsi="Cambria"/>
          <w:color w:val="8B6914"/>
          <w:sz w:val="28"/>
          <w:szCs w:val="28"/>
        </w:rPr>
        <w:t xml:space="preserve">B.7   The Active-Dormant Distribution</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Of the 96 paths, </w:t>
      </w:r>
      <w:r>
        <w:rPr>
          <w:rFonts w:ascii="Cambria" w:cs="Cambria" w:eastAsia="Cambria" w:hAnsi="Cambria"/>
          <w:b/>
          <w:bCs/>
          <w:i w:val="false"/>
          <w:iCs w:val="false"/>
          <w:strike w:val="false"/>
          <w:color w:val="1A1A1A"/>
          <w:sz w:val="22"/>
          <w:szCs w:val="22"/>
        </w:rPr>
        <w:t xml:space="preserve">86 are Active</w:t>
      </w:r>
      <w:r>
        <w:rPr>
          <w:rFonts w:ascii="Cambria" w:cs="Cambria" w:eastAsia="Cambria" w:hAnsi="Cambria"/>
          <w:b w:val="false"/>
          <w:bCs w:val="false"/>
          <w:i w:val="false"/>
          <w:iCs w:val="false"/>
          <w:strike w:val="false"/>
          <w:color w:val="1A1A1A"/>
          <w:sz w:val="22"/>
          <w:szCs w:val="22"/>
        </w:rPr>
        <w:t xml:space="preserve">—fully participating in the dynamics of the lattice—and </w:t>
      </w:r>
      <w:r>
        <w:rPr>
          <w:rFonts w:ascii="Cambria" w:cs="Cambria" w:eastAsia="Cambria" w:hAnsi="Cambria"/>
          <w:b/>
          <w:bCs/>
          <w:i w:val="false"/>
          <w:iCs w:val="false"/>
          <w:strike w:val="false"/>
          <w:color w:val="1A1A1A"/>
          <w:sz w:val="22"/>
          <w:szCs w:val="22"/>
        </w:rPr>
        <w:t xml:space="preserve">10 are Dormant</w:t>
      </w:r>
      <w:r>
        <w:rPr>
          <w:rFonts w:ascii="Cambria" w:cs="Cambria" w:eastAsia="Cambria" w:hAnsi="Cambria"/>
          <w:b w:val="false"/>
          <w:bCs w:val="false"/>
          <w:i w:val="false"/>
          <w:iCs w:val="false"/>
          <w:strike w:val="false"/>
          <w:color w:val="1A1A1A"/>
          <w:sz w:val="22"/>
          <w:szCs w:val="22"/>
        </w:rPr>
        <w:t xml:space="preserve">—sealed in latency, carrying the numerical value zero but distinguished from ordinary Neutral paths by their designation as sites of unrealized potential. The ten dormant paths are enumerated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w:t>
            </w:r>
          </w:p>
        </w:tc>
        <w:tc>
          <w:tcPr>
            <w:tcW w:type="pct" w:w="3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Name</w:t>
            </w:r>
          </w:p>
        </w:tc>
        <w:tc>
          <w:tcPr>
            <w:tcW w:type="pct" w:w="1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Angle (</w:t>
            </w:r>
            <w:r>
              <w:rPr>
                <w:rFonts w:ascii="Cambria Math" w:cs="Cambria Math" w:eastAsia="Cambria Math" w:hAnsi="Cambria Math"/>
                <w:b/>
                <w:bCs/>
                <w:i/>
                <w:iCs/>
                <w:strike w:val="false"/>
                <w:color w:val="4A3C10"/>
                <w:sz w:val="22"/>
                <w:szCs w:val="22"/>
              </w:rPr>
              <w:t xml:space="preserve">θ</w:t>
            </w:r>
            <w:r>
              <w:rPr>
                <w:rFonts w:ascii="Cambria" w:cs="Cambria" w:eastAsia="Cambria" w:hAnsi="Cambria"/>
                <w:b/>
                <w:bCs/>
                <w:i/>
                <w:iCs/>
                <w:strike w:val="false"/>
                <w:color w:val="4A3C10"/>
                <w:sz w:val="22"/>
                <w:szCs w:val="22"/>
                <w:vertAlign w:val="subscript"/>
              </w:rPr>
              <w:t xml:space="preserve">k</w:t>
            </w:r>
            <w:r>
              <w:rPr>
                <w:rFonts w:ascii="Cambria" w:cs="Cambria" w:eastAsia="Cambria" w:hAnsi="Cambria"/>
                <w:b/>
                <w:bCs/>
                <w:i w:val="false"/>
                <w:iCs w:val="false"/>
                <w:strike w:val="false"/>
                <w:color w:val="4A3C10"/>
                <w:sz w:val="22"/>
                <w:szCs w:val="22"/>
              </w:rPr>
              <w:t xml:space="preserve">)</w:t>
            </w:r>
          </w:p>
        </w:tc>
        <w:tc>
          <w:tcPr>
            <w:tcW w:type="pct" w:w="3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Sentinel</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33.75°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Lion the Sovereign</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Ignition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101.25°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Phoenix of Rebirth</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37</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Transfiguration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135°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Phoenix of Rebirth</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46</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Leviathan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168.75°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Dragon of Wisdom</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55</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Obsidian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202.5°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Dragon of Wisdom</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63</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Augur</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232.5°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Owl of Sight</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72</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Arcanum</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266.25°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Owl of Sight</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80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Vestige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296.25°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86</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Specter</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318.75°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91</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Hollow</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337.5°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Distribution of Dormancy by Guardian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c>
          <w:tcPr>
            <w:tcW w:type="pct" w:w="6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Dormant Paths</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Count</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Lion the Sovereign</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 10 (Sentinel)</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Phoenix of Rebirth</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28 (Ignition), 37 (Transfiguration)</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Dragon of Wisdom</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46 (Leviathan), 55 (Obsidian)</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Owl of Sight</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63 (Augur), 72 (Arcanum)</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80 (Vestige), 86 (Specter), 91 (Hollow)</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dormant paths are distributed with approximate uniformity across the Guardians, yet a gradient of latency increases as one traverses the circle from Lion (1 dormant) through to Raven (3 dormant). This asymmetry is structurally fitting: the Raven presides over the domain of Passage—endings, transitions, and the threshold between cycles—and it is here that the greatest reservoir of sealed potential resides, awaiting the conditions that will one day unseal it.</w:t>
      </w:r>
    </w:p>
    <w:p>
      <w:pPr>
        <w:pStyle w:val="Heading2"/>
        <w:spacing w:after="100" w:before="480" w:line="384" w:lineRule="auto"/>
      </w:pPr>
      <w:r>
        <w:rPr>
          <w:rFonts w:ascii="Cambria" w:cs="Cambria" w:eastAsia="Cambria" w:hAnsi="Cambria"/>
          <w:color w:val="8B6914"/>
          <w:sz w:val="28"/>
          <w:szCs w:val="28"/>
        </w:rPr>
        <w:t xml:space="preserve">B.8   Formal Notation Summary</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table collects all mathematical notation employed in this appendix for compact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Symbol</w:t>
            </w:r>
          </w:p>
        </w:tc>
        <w:tc>
          <w:tcPr>
            <w:tcW w:type="pct" w:w="8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Definition</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Angular position of Path k, given by (k − 1) × 3.75°</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State value of Path k; element of {−1, 0, +1}</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Full state vector (s</w:t>
            </w:r>
            <w:r>
              <w:rPr>
                <w:rFonts w:ascii="Cambria" w:cs="Cambria" w:eastAsia="Cambria" w:hAnsi="Cambria"/>
                <w:b w:val="false"/>
                <w:bCs w:val="false"/>
                <w:i/>
                <w:iCs/>
                <w:strike w:val="false"/>
                <w:color w:val="1A1A1A"/>
                <w:sz w:val="22"/>
                <w:szCs w:val="22"/>
                <w:vertAlign w:val="subscript"/>
              </w:rPr>
              <w:t xml:space="preserve">1</w:t>
            </w:r>
            <w:r>
              <w:rPr>
                <w:rFonts w:ascii="Cambria Math" w:cs="Cambria Math" w:eastAsia="Cambria Math" w:hAnsi="Cambria Math"/>
                <w:b w:val="false"/>
                <w:bCs w:val="false"/>
                <w:i/>
                <w:iCs/>
                <w:strike w:val="false"/>
                <w:color w:val="1A1A1A"/>
                <w:sz w:val="22"/>
                <w:szCs w:val="22"/>
              </w:rPr>
              <w:t xml:space="preserve">, s</w:t>
            </w:r>
            <w:r>
              <w:rPr>
                <w:rFonts w:ascii="Cambria" w:cs="Cambria" w:eastAsia="Cambria" w:hAnsi="Cambria"/>
                <w:b w:val="false"/>
                <w:bCs w:val="false"/>
                <w:i/>
                <w:iCs/>
                <w:strike w:val="false"/>
                <w:color w:val="1A1A1A"/>
                <w:sz w:val="22"/>
                <w:szCs w:val="22"/>
                <w:vertAlign w:val="subscript"/>
              </w:rPr>
              <w:t xml:space="preserve">2</w:t>
            </w:r>
            <w:r>
              <w:rPr>
                <w:rFonts w:ascii="Cambria Math" w:cs="Cambria Math" w:eastAsia="Cambria Math" w:hAnsi="Cambria Math"/>
                <w:b w:val="false"/>
                <w:bCs w:val="false"/>
                <w:i/>
                <w:iCs/>
                <w:strike w:val="false"/>
                <w:color w:val="1A1A1A"/>
                <w:sz w:val="22"/>
                <w:szCs w:val="22"/>
              </w:rPr>
              <w:t xml:space="preserve">, …, s</w:t>
            </w:r>
            <w:r>
              <w:rPr>
                <w:rFonts w:ascii="Cambria" w:cs="Cambria" w:eastAsia="Cambria" w:hAnsi="Cambria"/>
                <w:b w:val="false"/>
                <w:bCs w:val="false"/>
                <w:i/>
                <w:iCs/>
                <w:strike w:val="false"/>
                <w:color w:val="1A1A1A"/>
                <w:sz w:val="22"/>
                <w:szCs w:val="22"/>
                <w:vertAlign w:val="subscript"/>
              </w:rPr>
              <w:t xml:space="preserve">96</w:t>
            </w:r>
            <w:r>
              <w:rPr>
                <w:rFonts w:ascii="Cambria Math" w:cs="Cambria Math" w:eastAsia="Cambria Math" w:hAnsi="Cambria Math"/>
                <w:b w:val="false"/>
                <w:bCs w:val="false"/>
                <w:i/>
                <w:iCs/>
                <w:strike w:val="false"/>
                <w:color w:val="1A1A1A"/>
                <w:sz w:val="22"/>
                <w:szCs w:val="22"/>
              </w:rPr>
              <w:t xml:space="preserve">)</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Trinary alphabet {−1, 0, +1}</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w:t>
            </w:r>
            <w:r>
              <w:rPr>
                <w:rFonts w:ascii="Cambria" w:cs="Cambria" w:eastAsia="Cambria" w:hAnsi="Cambria"/>
                <w:b w:val="false"/>
                <w:bCs w:val="false"/>
                <w:i/>
                <w:iCs/>
                <w:strike w:val="false"/>
                <w:color w:val="1A1A1A"/>
                <w:sz w:val="22"/>
                <w:szCs w:val="22"/>
                <w:vertAlign w:val="subscript"/>
              </w:rPr>
              <w:t xml:space="preserve">n</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Triad n: the set {Path(3n−2), Path(3n−1), Path(3n)}</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H</w:t>
            </w:r>
            <w:r>
              <w:rPr>
                <w:rFonts w:ascii="Cambria" w:cs="Cambria" w:eastAsia="Cambria" w:hAnsi="Cambria"/>
                <w:b w:val="false"/>
                <w:bCs w:val="false"/>
                <w:i/>
                <w:iCs/>
                <w:strike w:val="false"/>
                <w:color w:val="1A1A1A"/>
                <w:sz w:val="22"/>
                <w:szCs w:val="22"/>
                <w:vertAlign w:val="subscript"/>
              </w:rPr>
              <w:t xml:space="preserve">m</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Hexagram m: the set {Path(6m−5), …, Path(6m)}</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G</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(θ)</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Guardian Influence Function for Guardian X at angle θ</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d</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Shortest angular distance between two positions on the circle</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 / ⊖ / ○ / ◇</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Polarity symbols: Angelu / Deminu / Neutral / Dormant</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||S||²</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Squared norm of the state vector; equals the Hamming weight for trinary states</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x</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y</w:t>
            </w:r>
            <w:r>
              <w:rPr>
                <w:rFonts w:ascii="Cambria" w:cs="Cambria" w:eastAsia="Cambria" w:hAnsi="Cambria"/>
                <w:b w:val="false"/>
                <w:bCs w:val="false"/>
                <w:i/>
                <w:iCs/>
                <w:strike w:val="false"/>
                <w:color w:val="1A1A1A"/>
                <w:sz w:val="22"/>
                <w:szCs w:val="22"/>
                <w:vertAlign w:val="subscript"/>
              </w:rPr>
              <w:t xml:space="preserve">k</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Cartesian coordinates of Path k on the unit circle</w:t>
            </w:r>
          </w:p>
        </w:tc>
      </w:tr>
    </w:tbl>
    <w:p>
      <w:pPr>
        <w:spacing w:after="200" w:before="0"/>
      </w:pPr>
    </w:p>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pBdr>
          <w:bottom w:val="single" w:color="C9A84C" w:sz="6"/>
        </w:pBdr>
        <w:spacing w:after="240" w:before="240"/>
      </w:pPr>
    </w:p>
    <w:p>
      <w:pPr>
        <w:spacing w:after="240" w:line="408" w:lineRule="auto"/>
        <w:jc w:val="center"/>
      </w:pPr>
      <w:r>
        <w:rPr>
          <w:rFonts w:ascii="Cambria" w:cs="Cambria" w:eastAsia="Cambria" w:hAnsi="Cambria"/>
          <w:b w:val="false"/>
          <w:bCs w:val="false"/>
          <w:i/>
          <w:iCs/>
          <w:strike w:val="false"/>
          <w:color w:val="4A3C10"/>
          <w:sz w:val="22"/>
          <w:szCs w:val="22"/>
        </w:rPr>
        <w:t xml:space="preserve">The 96-Path Mathematical Model provides the rigorous foundation upon which the Codex’s interpretive, divinatory, and philosophical layers are constructed. Every symbol, every Guardian, every angular relationship derives from the axioms and functions defined herein. The model is complete, self-consistent, and extensible—awaiting only the activation of its ten dormant paths to achieve full resonance.</w:t>
      </w:r>
    </w:p>
    <w:p>
      <w:pPr>
        <w:pBdr>
          <w:bottom w:val="single" w:color="C9A84C" w:sz="6"/>
        </w:pBdr>
        <w:spacing w:after="240" w:before="240"/>
      </w:pPr>
    </w:p>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spacing w:after="240" w:before="60" w:line="384" w:lineRule="auto"/>
        <w:jc w:val="center"/>
      </w:pPr>
      <w:r>
        <w:rPr>
          <w:rFonts w:ascii="Cambria" w:cs="Cambria" w:eastAsia="Cambria" w:hAnsi="Cambria"/>
          <w:b w:val="false"/>
          <w:bCs w:val="false"/>
          <w:i/>
          <w:iCs/>
          <w:strike w:val="false"/>
          <w:color w:val="1A1A1A"/>
          <w:sz w:val="22"/>
          <w:szCs w:val="22"/>
        </w:rPr>
        <w:t xml:space="preserve">End of Appendix B</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dKYBRNJna2iAD3RYyriYv</dc:title>
  <dc:creator>Un-named</dc:creator>
  <dc:description>Generated document</dc:description>
  <cp:lastModifiedBy>Un-named</cp:lastModifiedBy>
  <cp:revision>1</cp:revision>
  <dcterms:created xsi:type="dcterms:W3CDTF">2026-04-18T23:05:49.210Z</dcterms:created>
  <dcterms:modified xsi:type="dcterms:W3CDTF">2026-04-18T23:05:49.210Z</dcterms:modified>
</cp:coreProperties>
</file>

<file path=docProps/custom.xml><?xml version="1.0" encoding="utf-8"?>
<Properties xmlns="http://schemas.openxmlformats.org/officeDocument/2006/custom-properties" xmlns:vt="http://schemas.openxmlformats.org/officeDocument/2006/docPropsVTypes"/>
</file>