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160" w:line="312" w:lineRule="auto"/>
        <w:jc w:val="center"/>
      </w:pPr>
      <w:r>
        <w:rPr>
          <w:rFonts w:ascii="Cambria" w:cs="Cambria" w:eastAsia="Cambria" w:hAnsi="Cambria"/>
          <w:color w:val="5C4410"/>
          <w:spacing w:val="40"/>
          <w:sz w:val="56"/>
          <w:szCs w:val="56"/>
        </w:rPr>
        <w:t xml:space="preserve">FULL 96-PATH INDEX</w:t>
      </w:r>
    </w:p>
    <w:p>
      <w:pPr>
        <w:spacing w:after="120" w:line="360" w:lineRule="auto"/>
        <w:jc w:val="center"/>
      </w:pPr>
      <w:r>
        <w:rPr>
          <w:rFonts w:ascii="Cambria" w:cs="Cambria" w:eastAsia="Cambria" w:hAnsi="Cambria"/>
          <w:b w:val="false"/>
          <w:bCs w:val="false"/>
          <w:i/>
          <w:iCs/>
          <w:strike w:val="false"/>
          <w:color w:val="000000"/>
          <w:sz w:val="22"/>
          <w:szCs w:val="22"/>
        </w:rPr>
        <w:t xml:space="preserve">The Definitive Reference Catalog of the 96-Path Lattice System</w:t>
      </w:r>
    </w:p>
    <w:p>
      <w:pPr>
        <w:spacing w:after="60" w:line="360" w:lineRule="auto"/>
        <w:jc w:val="center"/>
      </w:pPr>
      <w:r>
        <w:rPr>
          <w:rFonts w:ascii="Cambria" w:cs="Cambria" w:eastAsia="Cambria" w:hAnsi="Cambria"/>
          <w:b w:val="false"/>
          <w:bCs w:val="false"/>
          <w:i w:val="false"/>
          <w:iCs w:val="false"/>
          <w:strike w:val="false"/>
          <w:color w:val="000000"/>
          <w:sz w:val="22"/>
          <w:szCs w:val="22"/>
        </w:rPr>
        <w:t xml:space="preserve">Codex Reference Document — Master Index Edition</w:t>
      </w:r>
    </w:p>
    <w:p>
      <w:pPr>
        <w:spacing w:after="60" w:line="360" w:lineRule="auto"/>
        <w:jc w:val="center"/>
      </w:pPr>
      <w:r>
        <w:rPr>
          <w:rFonts w:ascii="Cambria" w:cs="Cambria" w:eastAsia="Cambria" w:hAnsi="Cambria"/>
          <w:b w:val="false"/>
          <w:bCs w:val="false"/>
          <w:i w:val="false"/>
          <w:iCs w:val="false"/>
          <w:strike w:val="false"/>
          <w:color w:val="000000"/>
          <w:sz w:val="22"/>
          <w:szCs w:val="22"/>
        </w:rPr>
        <w:t xml:space="preserve">Sequential • Alphabetical • Thematic • Polarity • Cross-Reference</w:t>
      </w:r>
    </w:p>
    <w:p>
      <w:pPr>
        <w:pBdr>
          <w:bottom w:val="single" w:color="7A5C1F" w:sz="6"/>
        </w:pBdr>
        <w:spacing w:after="240" w:before="240"/>
      </w:pPr>
    </w:p>
    <w:p>
      <w:pPr>
        <w:pStyle w:val="Heading1"/>
        <w:spacing w:after="120" w:before="480" w:line="312" w:lineRule="auto"/>
      </w:pPr>
      <w:r>
        <w:rPr>
          <w:rFonts w:ascii="Cambria" w:cs="Cambria" w:eastAsia="Cambria" w:hAnsi="Cambria"/>
          <w:color w:val="7A5C1F"/>
          <w:sz w:val="48"/>
          <w:szCs w:val="48"/>
        </w:rPr>
        <w:t xml:space="preserve">I. Purpose and Usage</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The Full 96-Path Index serves as the Codex's definitive reference — a dual-format catalog listing every path both by its numerical position in the lattice and alphabetically by name. Whether the practitioner begins with a path number, a name, an angular position, or a Guardian affiliation, this index provides immediate cross-reference to all associated attributes.</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This index furnishes two primary views of the complete system:</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Sequential Index (Paths 1–96):</w:t>
      </w:r>
      <w:r>
        <w:rPr>
          <w:rFonts w:ascii="Cambria" w:cs="Cambria" w:eastAsia="Cambria" w:hAnsi="Cambria"/>
          <w:b w:val="false"/>
          <w:bCs w:val="false"/>
          <w:i w:val="false"/>
          <w:iCs w:val="false"/>
          <w:strike w:val="false"/>
          <w:color w:val="000000"/>
          <w:sz w:val="22"/>
          <w:szCs w:val="22"/>
        </w:rPr>
        <w:t xml:space="preserve"> The full lattice in numerical order, tracing the circle from 0° to 356.25°.</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Alphabetical Index (A–Z):</w:t>
      </w:r>
      <w:r>
        <w:rPr>
          <w:rFonts w:ascii="Cambria" w:cs="Cambria" w:eastAsia="Cambria" w:hAnsi="Cambria"/>
          <w:b w:val="false"/>
          <w:bCs w:val="false"/>
          <w:i w:val="false"/>
          <w:iCs w:val="false"/>
          <w:strike w:val="false"/>
          <w:color w:val="000000"/>
          <w:sz w:val="22"/>
          <w:szCs w:val="22"/>
        </w:rPr>
        <w:t xml:space="preserve"> Every path sorted by name for rapid lookup when the practitioner knows the name but not the number.</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Each entry in both indexes records the following attributes: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6914" w:sz="6"/>
              <w:left w:val="single" w:color="8B6914" w:sz="6"/>
              <w:bottom w:val="single" w:color="8B6914" w:sz="6"/>
              <w:right w:val="single" w:color="8B6914" w:sz="6"/>
            </w:tcBorders>
            <w:shd w:fill="FDF8EC" w:color="auto" w:val="clear"/>
            <w:tcMar>
              <w:top w:type="dxa" w:w="180"/>
              <w:left w:type="dxa" w:w="180"/>
              <w:bottom w:type="dxa" w:w="180"/>
              <w:right w:type="dxa" w:w="180"/>
            </w:tcMar>
          </w:tcPr>
          <w:p>
            <w:pPr>
              <w:spacing w:after="120" w:line="408" w:lineRule="auto"/>
            </w:pPr>
            <w:r>
              <w:rPr>
                <w:b/>
                <w:bCs/>
                <w:i w:val="false"/>
                <w:iCs w:val="false"/>
                <w:color w:val="5C4410"/>
              </w:rPr>
              <w:t xml:space="preserve">Entry Attributes</w:t>
            </w:r>
          </w:p>
          <w:p>
            <w:pPr>
              <w:spacing w:after="0" w:line="360" w:lineRule="auto"/>
            </w:pPr>
            <w:r>
              <w:rPr>
                <w:rFonts w:ascii="Cambria" w:cs="Cambria" w:eastAsia="Cambria" w:hAnsi="Cambria"/>
                <w:b/>
                <w:bCs/>
                <w:i w:val="false"/>
                <w:iCs w:val="false"/>
                <w:strike w:val="false"/>
                <w:color w:val="000000"/>
                <w:sz w:val="22"/>
                <w:szCs w:val="22"/>
              </w:rPr>
              <w:t xml:space="preserve">Path Number</w:t>
            </w:r>
            <w:r>
              <w:rPr>
                <w:rFonts w:ascii="Cambria" w:cs="Cambria" w:eastAsia="Cambria" w:hAnsi="Cambria"/>
                <w:b w:val="false"/>
                <w:bCs w:val="false"/>
                <w:i w:val="false"/>
                <w:iCs w:val="false"/>
                <w:strike w:val="false"/>
                <w:color w:val="000000"/>
                <w:sz w:val="22"/>
                <w:szCs w:val="22"/>
              </w:rPr>
              <w:t xml:space="preserve"> — Sequential position in the lattice (1–96). </w:t>
            </w:r>
            <w:r>
              <w:rPr>
                <w:rFonts w:ascii="Cambria" w:cs="Cambria" w:eastAsia="Cambria" w:hAnsi="Cambria"/>
                <w:b/>
                <w:bCs/>
                <w:i w:val="false"/>
                <w:iCs w:val="false"/>
                <w:strike w:val="false"/>
                <w:color w:val="000000"/>
                <w:sz w:val="22"/>
                <w:szCs w:val="22"/>
              </w:rPr>
              <w:t xml:space="preserve">Full Name</w:t>
            </w:r>
            <w:r>
              <w:rPr>
                <w:rFonts w:ascii="Cambria" w:cs="Cambria" w:eastAsia="Cambria" w:hAnsi="Cambria"/>
                <w:b w:val="false"/>
                <w:bCs w:val="false"/>
                <w:i w:val="false"/>
                <w:iCs w:val="false"/>
                <w:strike w:val="false"/>
                <w:color w:val="000000"/>
                <w:sz w:val="22"/>
                <w:szCs w:val="22"/>
              </w:rPr>
              <w:t xml:space="preserve"> — Ceremonial designation with "Path of the" prefix. </w:t>
            </w:r>
            <w:r>
              <w:rPr>
                <w:rFonts w:ascii="Cambria" w:cs="Cambria" w:eastAsia="Cambria" w:hAnsi="Cambria"/>
                <w:b/>
                <w:bCs/>
                <w:i w:val="false"/>
                <w:iCs w:val="false"/>
                <w:strike w:val="false"/>
                <w:color w:val="000000"/>
                <w:sz w:val="22"/>
                <w:szCs w:val="22"/>
              </w:rPr>
              <w:t xml:space="preserve">Angular Position (θ°)</w:t>
            </w:r>
            <w:r>
              <w:rPr>
                <w:rFonts w:ascii="Cambria" w:cs="Cambria" w:eastAsia="Cambria" w:hAnsi="Cambria"/>
                <w:b w:val="false"/>
                <w:bCs w:val="false"/>
                <w:i w:val="false"/>
                <w:iCs w:val="false"/>
                <w:strike w:val="false"/>
                <w:color w:val="000000"/>
                <w:sz w:val="22"/>
                <w:szCs w:val="22"/>
              </w:rPr>
              <w:t xml:space="preserve"> — Degree on the 360° circle, at 3.75° intervals. </w:t>
            </w:r>
            <w:r>
              <w:rPr>
                <w:rFonts w:ascii="Cambria" w:cs="Cambria" w:eastAsia="Cambria" w:hAnsi="Cambria"/>
                <w:b/>
                <w:bCs/>
                <w:i w:val="false"/>
                <w:iCs w:val="false"/>
                <w:strike w:val="false"/>
                <w:color w:val="000000"/>
                <w:sz w:val="22"/>
                <w:szCs w:val="22"/>
              </w:rPr>
              <w:t xml:space="preserve">Polarity</w:t>
            </w:r>
            <w:r>
              <w:rPr>
                <w:rFonts w:ascii="Cambria" w:cs="Cambria" w:eastAsia="Cambria" w:hAnsi="Cambria"/>
                <w:b w:val="false"/>
                <w:bCs w:val="false"/>
                <w:i w:val="false"/>
                <w:iCs w:val="false"/>
                <w:strike w:val="false"/>
                <w:color w:val="000000"/>
                <w:sz w:val="22"/>
                <w:szCs w:val="22"/>
              </w:rPr>
              <w:t xml:space="preserve"> — Angelu (⊕), Deminu (⊖), Neutral (○), or Dormant (◇). </w:t>
            </w:r>
            <w:r>
              <w:rPr>
                <w:rFonts w:ascii="Cambria" w:cs="Cambria" w:eastAsia="Cambria" w:hAnsi="Cambria"/>
                <w:b/>
                <w:bCs/>
                <w:i w:val="false"/>
                <w:iCs w:val="false"/>
                <w:strike w:val="false"/>
                <w:color w:val="000000"/>
                <w:sz w:val="22"/>
                <w:szCs w:val="22"/>
              </w:rPr>
              <w:t xml:space="preserve">State Value</w:t>
            </w:r>
            <w:r>
              <w:rPr>
                <w:rFonts w:ascii="Cambria" w:cs="Cambria" w:eastAsia="Cambria" w:hAnsi="Cambria"/>
                <w:b w:val="false"/>
                <w:bCs w:val="false"/>
                <w:i w:val="false"/>
                <w:iCs w:val="false"/>
                <w:strike w:val="false"/>
                <w:color w:val="000000"/>
                <w:sz w:val="22"/>
                <w:szCs w:val="22"/>
              </w:rPr>
              <w:t xml:space="preserve"> — +1, −1, or 0. </w:t>
            </w:r>
            <w:r>
              <w:rPr>
                <w:rFonts w:ascii="Cambria" w:cs="Cambria" w:eastAsia="Cambria" w:hAnsi="Cambria"/>
                <w:b/>
                <w:bCs/>
                <w:i w:val="false"/>
                <w:iCs w:val="false"/>
                <w:strike w:val="false"/>
                <w:color w:val="000000"/>
                <w:sz w:val="22"/>
                <w:szCs w:val="22"/>
              </w:rPr>
              <w:t xml:space="preserve">Status</w:t>
            </w:r>
            <w:r>
              <w:rPr>
                <w:rFonts w:ascii="Cambria" w:cs="Cambria" w:eastAsia="Cambria" w:hAnsi="Cambria"/>
                <w:b w:val="false"/>
                <w:bCs w:val="false"/>
                <w:i w:val="false"/>
                <w:iCs w:val="false"/>
                <w:strike w:val="false"/>
                <w:color w:val="000000"/>
                <w:sz w:val="22"/>
                <w:szCs w:val="22"/>
              </w:rPr>
              <w:t xml:space="preserve"> — Active or Dormant. </w:t>
            </w:r>
            <w:r>
              <w:rPr>
                <w:rFonts w:ascii="Cambria" w:cs="Cambria" w:eastAsia="Cambria" w:hAnsi="Cambria"/>
                <w:b/>
                <w:bCs/>
                <w:i w:val="false"/>
                <w:iCs w:val="false"/>
                <w:strike w:val="false"/>
                <w:color w:val="000000"/>
                <w:sz w:val="22"/>
                <w:szCs w:val="22"/>
              </w:rPr>
              <w:t xml:space="preserve">Guardian</w:t>
            </w:r>
            <w:r>
              <w:rPr>
                <w:rFonts w:ascii="Cambria" w:cs="Cambria" w:eastAsia="Cambria" w:hAnsi="Cambria"/>
                <w:b w:val="false"/>
                <w:bCs w:val="false"/>
                <w:i w:val="false"/>
                <w:iCs w:val="false"/>
                <w:strike w:val="false"/>
                <w:color w:val="000000"/>
                <w:sz w:val="22"/>
                <w:szCs w:val="22"/>
              </w:rPr>
              <w:t xml:space="preserve"> — Presiding guardian entity (Lion, Phoenix, Dragon, Owl, or Raven). </w:t>
            </w:r>
            <w:r>
              <w:rPr>
                <w:rFonts w:ascii="Cambria" w:cs="Cambria" w:eastAsia="Cambria" w:hAnsi="Cambria"/>
                <w:b/>
                <w:bCs/>
                <w:i w:val="false"/>
                <w:iCs w:val="false"/>
                <w:strike w:val="false"/>
                <w:color w:val="000000"/>
                <w:sz w:val="22"/>
                <w:szCs w:val="22"/>
              </w:rPr>
              <w:t xml:space="preserve">Triad</w:t>
            </w:r>
            <w:r>
              <w:rPr>
                <w:rFonts w:ascii="Cambria" w:cs="Cambria" w:eastAsia="Cambria" w:hAnsi="Cambria"/>
                <w:b w:val="false"/>
                <w:bCs w:val="false"/>
                <w:i w:val="false"/>
                <w:iCs w:val="false"/>
                <w:strike w:val="false"/>
                <w:color w:val="000000"/>
                <w:sz w:val="22"/>
                <w:szCs w:val="22"/>
              </w:rPr>
              <w:t xml:space="preserve"> — Three-path grouping (T1–T32). </w:t>
            </w:r>
            <w:r>
              <w:rPr>
                <w:rFonts w:ascii="Cambria" w:cs="Cambria" w:eastAsia="Cambria" w:hAnsi="Cambria"/>
                <w:b/>
                <w:bCs/>
                <w:i w:val="false"/>
                <w:iCs w:val="false"/>
                <w:strike w:val="false"/>
                <w:color w:val="000000"/>
                <w:sz w:val="22"/>
                <w:szCs w:val="22"/>
              </w:rPr>
              <w:t xml:space="preserve">Hexagram</w:t>
            </w:r>
            <w:r>
              <w:rPr>
                <w:rFonts w:ascii="Cambria" w:cs="Cambria" w:eastAsia="Cambria" w:hAnsi="Cambria"/>
                <w:b w:val="false"/>
                <w:bCs w:val="false"/>
                <w:i w:val="false"/>
                <w:iCs w:val="false"/>
                <w:strike w:val="false"/>
                <w:color w:val="000000"/>
                <w:sz w:val="22"/>
                <w:szCs w:val="22"/>
              </w:rPr>
              <w:t xml:space="preserve"> — Six-path hexagrammatic unit (H-I through H-XVI).</w:t>
            </w:r>
          </w:p>
        </w:tc>
      </w:tr>
    </w:tbl>
    <w:p>
      <w:pPr>
        <w:spacing w:after="240" w:before="0"/>
      </w:pPr>
    </w:p>
    <w:p>
      <w:pPr>
        <w:pBdr>
          <w:bottom w:val="single" w:color="C9A84C" w:sz="6"/>
        </w:pBdr>
        <w:spacing w:after="240" w:before="240"/>
      </w:pPr>
    </w:p>
    <w:p>
      <w:pPr>
        <w:pStyle w:val="Heading1"/>
        <w:spacing w:after="120" w:before="480" w:line="312" w:lineRule="auto"/>
      </w:pPr>
      <w:r>
        <w:rPr>
          <w:rFonts w:ascii="Cambria" w:cs="Cambria" w:eastAsia="Cambria" w:hAnsi="Cambria"/>
          <w:color w:val="7A5C1F"/>
          <w:sz w:val="48"/>
          <w:szCs w:val="48"/>
        </w:rPr>
        <w:t xml:space="preserve">II. Sequential Index — By Path Number</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The complete 96-path listing follows in strict numerical order. Polarity is denoted by symbol: </w:t>
      </w:r>
      <w:r>
        <w:rPr>
          <w:rFonts w:ascii="Cambria" w:cs="Cambria" w:eastAsia="Cambria" w:hAnsi="Cambria"/>
          <w:b/>
          <w:bCs/>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Angelu (+1), </w:t>
      </w:r>
      <w:r>
        <w:rPr>
          <w:rFonts w:ascii="Cambria" w:cs="Cambria" w:eastAsia="Cambria" w:hAnsi="Cambria"/>
          <w:b/>
          <w:bCs/>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Deminu (−1), </w:t>
      </w:r>
      <w:r>
        <w:rPr>
          <w:rFonts w:ascii="Cambria" w:cs="Cambria" w:eastAsia="Cambria" w:hAnsi="Cambria"/>
          <w:b/>
          <w:bCs/>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Neutral (0), </w:t>
      </w:r>
      <w:r>
        <w:rPr>
          <w:rFonts w:ascii="Cambria" w:cs="Cambria" w:eastAsia="Cambria" w:hAnsi="Cambria"/>
          <w:b/>
          <w:bCs/>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Dormant (0). Dormant paths are rendered in italics.</w:t>
      </w:r>
    </w:p>
    <w:p>
      <w:pPr>
        <w:pStyle w:val="Heading2"/>
        <w:spacing w:after="120" w:before="360" w:line="312" w:lineRule="auto"/>
      </w:pPr>
      <w:r>
        <w:rPr>
          <w:rFonts w:ascii="Cambria" w:cs="Cambria" w:eastAsia="Cambria" w:hAnsi="Cambria"/>
          <w:color w:val="7A5C1F"/>
          <w:sz w:val="36"/>
          <w:szCs w:val="36"/>
        </w:rPr>
        <w:t xml:space="preserve">Paths 1–19 — Lion the Sovereign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gridCol w:w="100"/>
      </w:tblGrid>
      <w:tr>
        <w:trPr>
          <w:tblHeader/>
        </w:trPr>
        <w:tc>
          <w:tcPr>
            <w:tcW w:type="pct" w:w="9%"/>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w:t>
            </w:r>
          </w:p>
        </w:tc>
        <w:tc>
          <w:tcPr>
            <w:tcW w:type="pct" w:w="18%"/>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Full Path Name</w:t>
            </w:r>
          </w:p>
        </w:tc>
        <w:tc>
          <w:tcPr>
            <w:tcW w:type="pct" w:w="11%"/>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θ°</w:t>
            </w:r>
          </w:p>
        </w:tc>
        <w:tc>
          <w:tcPr>
            <w:tcW w:type="pct" w:w="12%"/>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Polarity</w:t>
            </w:r>
          </w:p>
        </w:tc>
        <w:tc>
          <w:tcPr>
            <w:tcW w:type="pct" w:w="9%"/>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State</w:t>
            </w:r>
          </w:p>
        </w:tc>
        <w:tc>
          <w:tcPr>
            <w:tcW w:type="pct" w:w="11%"/>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Status</w:t>
            </w:r>
          </w:p>
        </w:tc>
        <w:tc>
          <w:tcPr>
            <w:tcW w:type="pct" w:w="10%"/>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Guardian</w:t>
            </w:r>
          </w:p>
        </w:tc>
        <w:tc>
          <w:tcPr>
            <w:tcW w:type="pct" w:w="9%"/>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Triad</w:t>
            </w:r>
          </w:p>
        </w:tc>
        <w:tc>
          <w:tcPr>
            <w:tcW w:type="pct" w:w="11%"/>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Hex.</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Crown</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Throne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Herald</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Aegis</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11.25°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T2</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5</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Vanguard</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T2</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Standard</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18.75°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T2</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Bastion</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T3</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8</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Mandate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26.25°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T3</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9</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Forge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T3</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10</w:t>
            </w:r>
          </w:p>
        </w:tc>
        <w:tc>
          <w:tcPr>
            <w:tcW w:type="pct" w:w="18%"/>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Path of the Sentinel</w:t>
            </w:r>
          </w:p>
        </w:tc>
        <w:tc>
          <w:tcPr>
            <w:tcW w:type="pct" w:w="11%"/>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33.75°</w:t>
            </w:r>
          </w:p>
        </w:tc>
        <w:tc>
          <w:tcPr>
            <w:tcW w:type="pct" w:w="12%"/>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 ◇</w:t>
            </w:r>
          </w:p>
        </w:tc>
        <w:tc>
          <w:tcPr>
            <w:tcW w:type="pct" w:w="9%"/>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Lion</w:t>
            </w:r>
          </w:p>
        </w:tc>
        <w:tc>
          <w:tcPr>
            <w:tcW w:type="pct" w:w="9%"/>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T4</w:t>
            </w:r>
          </w:p>
        </w:tc>
        <w:tc>
          <w:tcPr>
            <w:tcW w:type="pct" w:w="11%"/>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H-II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11</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Warden</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T4</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12</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Valor</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41.25°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T4</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13</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Dominion</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T5</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H-III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14</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Rampart</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48.75°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T5</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H-III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15</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Apex</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52.5°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T5</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H-III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16</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Sovereign</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56.25°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T6</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H-III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17</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Garrison</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T6</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H-III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18</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Tribute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63.75°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T6</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H-III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19</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Vigilance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T7</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H-IV</w:t>
            </w:r>
          </w:p>
        </w:tc>
      </w:tr>
    </w:tbl>
    <w:p>
      <w:pPr>
        <w:spacing w:after="200" w:before="0"/>
      </w:pPr>
    </w:p>
    <w:p>
      <w:pPr>
        <w:pStyle w:val="Heading2"/>
        <w:spacing w:after="120" w:before="360" w:line="312" w:lineRule="auto"/>
      </w:pPr>
      <w:r>
        <w:rPr>
          <w:rFonts w:ascii="Cambria" w:cs="Cambria" w:eastAsia="Cambria" w:hAnsi="Cambria"/>
          <w:color w:val="7A5C1F"/>
          <w:sz w:val="36"/>
          <w:szCs w:val="36"/>
        </w:rPr>
        <w:t xml:space="preserve">Paths 20–38 — Phoenix of Rebirth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gridCol w:w="100"/>
      </w:tblGrid>
      <w:tr>
        <w:trPr>
          <w:tblHeader/>
        </w:trPr>
        <w:tc>
          <w:tcPr>
            <w:tcW w:type="pct" w:w="9%"/>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w:t>
            </w:r>
          </w:p>
        </w:tc>
        <w:tc>
          <w:tcPr>
            <w:tcW w:type="pct" w:w="19%"/>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Full Path Name</w:t>
            </w:r>
          </w:p>
        </w:tc>
        <w:tc>
          <w:tcPr>
            <w:tcW w:type="pct" w:w="11%"/>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θ°</w:t>
            </w:r>
          </w:p>
        </w:tc>
        <w:tc>
          <w:tcPr>
            <w:tcW w:type="pct" w:w="12%"/>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Polarity</w:t>
            </w:r>
          </w:p>
        </w:tc>
        <w:tc>
          <w:tcPr>
            <w:tcW w:type="pct" w:w="9%"/>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State</w:t>
            </w:r>
          </w:p>
        </w:tc>
        <w:tc>
          <w:tcPr>
            <w:tcW w:type="pct" w:w="11%"/>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Status</w:t>
            </w:r>
          </w:p>
        </w:tc>
        <w:tc>
          <w:tcPr>
            <w:tcW w:type="pct" w:w="11%"/>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Guardian</w:t>
            </w:r>
          </w:p>
        </w:tc>
        <w:tc>
          <w:tcPr>
            <w:tcW w:type="pct" w:w="9%"/>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Triad</w:t>
            </w:r>
          </w:p>
        </w:tc>
        <w:tc>
          <w:tcPr>
            <w:tcW w:type="pct" w:w="9%"/>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Hex.</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20</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Ember</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71.25°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T7</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H-IV</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21</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Pyre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T7</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H-IV</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22</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Cinder</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78.75°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T8</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H-IV</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23</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Kindle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82.5°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T8</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H-IV</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24</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Crucible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86.25°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T8</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H-IV</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25</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Flare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90°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T9</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H-V</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26</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Solstice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93.75°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T9</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H-V</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27</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Radiance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97.5°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T9</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H-V</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28</w:t>
            </w:r>
          </w:p>
        </w:tc>
        <w:tc>
          <w:tcPr>
            <w:tcW w:type="pct" w:w="19%"/>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Path of the Ignition</w:t>
            </w:r>
          </w:p>
        </w:tc>
        <w:tc>
          <w:tcPr>
            <w:tcW w:type="pct" w:w="11%"/>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101.25°</w:t>
            </w:r>
          </w:p>
        </w:tc>
        <w:tc>
          <w:tcPr>
            <w:tcW w:type="pct" w:w="12%"/>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 ◇</w:t>
            </w:r>
          </w:p>
        </w:tc>
        <w:tc>
          <w:tcPr>
            <w:tcW w:type="pct" w:w="9%"/>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c>
          <w:tcPr>
            <w:tcW w:type="pct" w:w="11%"/>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Phoenix</w:t>
            </w:r>
          </w:p>
        </w:tc>
        <w:tc>
          <w:tcPr>
            <w:tcW w:type="pct" w:w="9%"/>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T10</w:t>
            </w:r>
          </w:p>
        </w:tc>
        <w:tc>
          <w:tcPr>
            <w:tcW w:type="pct" w:w="9%"/>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H-V</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29</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Aurora</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105°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T10</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H-V</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30</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Catalyst</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108.75°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T10</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H-V</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31</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Tempering</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112.5°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T11</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H-VI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32</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Ascension</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116.25°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T11</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H-VI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33</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Blaze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120°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T11</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H-VI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34</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Renewal</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123.75°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T12</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H-VI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35</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Immolation</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127.5°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T12</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H-VI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36</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Dawn</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131.25°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T12</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H-VI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37</w:t>
            </w:r>
          </w:p>
        </w:tc>
        <w:tc>
          <w:tcPr>
            <w:tcW w:type="pct" w:w="19%"/>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Path of the Transfiguration</w:t>
            </w:r>
          </w:p>
        </w:tc>
        <w:tc>
          <w:tcPr>
            <w:tcW w:type="pct" w:w="11%"/>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135°</w:t>
            </w:r>
          </w:p>
        </w:tc>
        <w:tc>
          <w:tcPr>
            <w:tcW w:type="pct" w:w="12%"/>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 ◇</w:t>
            </w:r>
          </w:p>
        </w:tc>
        <w:tc>
          <w:tcPr>
            <w:tcW w:type="pct" w:w="9%"/>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c>
          <w:tcPr>
            <w:tcW w:type="pct" w:w="11%"/>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Phoenix</w:t>
            </w:r>
          </w:p>
        </w:tc>
        <w:tc>
          <w:tcPr>
            <w:tcW w:type="pct" w:w="9%"/>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T13</w:t>
            </w:r>
          </w:p>
        </w:tc>
        <w:tc>
          <w:tcPr>
            <w:tcW w:type="pct" w:w="9%"/>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H-VII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38</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Phoenix Heart</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138.75°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T13</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H-VII</w:t>
            </w:r>
          </w:p>
        </w:tc>
      </w:tr>
    </w:tbl>
    <w:p>
      <w:pPr>
        <w:spacing w:after="200" w:before="0"/>
      </w:pPr>
    </w:p>
    <w:p>
      <w:pPr>
        <w:pStyle w:val="Heading2"/>
        <w:spacing w:after="120" w:before="360" w:line="312" w:lineRule="auto"/>
      </w:pPr>
      <w:r>
        <w:rPr>
          <w:rFonts w:ascii="Cambria" w:cs="Cambria" w:eastAsia="Cambria" w:hAnsi="Cambria"/>
          <w:color w:val="7A5C1F"/>
          <w:sz w:val="36"/>
          <w:szCs w:val="36"/>
        </w:rPr>
        <w:t xml:space="preserve">Paths 39–57 — Dragon of Wisdom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gridCol w:w="100"/>
      </w:tblGrid>
      <w:tr>
        <w:trPr>
          <w:tblHeader/>
        </w:trPr>
        <w:tc>
          <w:tcPr>
            <w:tcW w:type="pct" w:w="9%"/>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w:t>
            </w:r>
          </w:p>
        </w:tc>
        <w:tc>
          <w:tcPr>
            <w:tcW w:type="pct" w:w="18%"/>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Full Path Name</w:t>
            </w:r>
          </w:p>
        </w:tc>
        <w:tc>
          <w:tcPr>
            <w:tcW w:type="pct" w:w="11%"/>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θ°</w:t>
            </w:r>
          </w:p>
        </w:tc>
        <w:tc>
          <w:tcPr>
            <w:tcW w:type="pct" w:w="12%"/>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Polarity</w:t>
            </w:r>
          </w:p>
        </w:tc>
        <w:tc>
          <w:tcPr>
            <w:tcW w:type="pct" w:w="9%"/>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State</w:t>
            </w:r>
          </w:p>
        </w:tc>
        <w:tc>
          <w:tcPr>
            <w:tcW w:type="pct" w:w="11%"/>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Status</w:t>
            </w:r>
          </w:p>
        </w:tc>
        <w:tc>
          <w:tcPr>
            <w:tcW w:type="pct" w:w="11%"/>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Guardian</w:t>
            </w:r>
          </w:p>
        </w:tc>
        <w:tc>
          <w:tcPr>
            <w:tcW w:type="pct" w:w="9%"/>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Triad</w:t>
            </w:r>
          </w:p>
        </w:tc>
        <w:tc>
          <w:tcPr>
            <w:tcW w:type="pct" w:w="10%"/>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Hex.</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39</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Scale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142.5°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T13</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H-VII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40</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Wyrm</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146.25°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T14</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H-VII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41</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Tempest</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150°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T14</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H-VII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42</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Earthstone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153.75°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T14</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H-VII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43</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Abyss</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157.5°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T15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H-VIII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44</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Coil</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161.25°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T15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H-VIII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45</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Firmament</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165°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T15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H-VIII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46</w:t>
            </w:r>
          </w:p>
        </w:tc>
        <w:tc>
          <w:tcPr>
            <w:tcW w:type="pct" w:w="18%"/>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Path of the Leviathan</w:t>
            </w:r>
          </w:p>
        </w:tc>
        <w:tc>
          <w:tcPr>
            <w:tcW w:type="pct" w:w="11%"/>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168.75°</w:t>
            </w:r>
          </w:p>
        </w:tc>
        <w:tc>
          <w:tcPr>
            <w:tcW w:type="pct" w:w="12%"/>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 ◇</w:t>
            </w:r>
          </w:p>
        </w:tc>
        <w:tc>
          <w:tcPr>
            <w:tcW w:type="pct" w:w="9%"/>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c>
          <w:tcPr>
            <w:tcW w:type="pct" w:w="11%"/>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Dragon</w:t>
            </w:r>
          </w:p>
        </w:tc>
        <w:tc>
          <w:tcPr>
            <w:tcW w:type="pct" w:w="9%"/>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T16</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H-VIII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47</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Bedrock</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172.5°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T16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H-VIII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48</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Torrent</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176.25°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T16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H-VIII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49</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Meridian</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180°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T17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H-IX</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50</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Draconis</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183.75°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T17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H-IX</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51</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Gale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187.5°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T17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H-IX</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52</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Monolith</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191.25°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T18</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H-IX</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53</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Rift</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195°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T18</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H-IX</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54</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Tidecaller</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198.75°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T18</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H-IX</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55</w:t>
            </w:r>
          </w:p>
        </w:tc>
        <w:tc>
          <w:tcPr>
            <w:tcW w:type="pct" w:w="18%"/>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Path of the Obsidian</w:t>
            </w:r>
          </w:p>
        </w:tc>
        <w:tc>
          <w:tcPr>
            <w:tcW w:type="pct" w:w="11%"/>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202.5°</w:t>
            </w:r>
          </w:p>
        </w:tc>
        <w:tc>
          <w:tcPr>
            <w:tcW w:type="pct" w:w="12%"/>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 ◇</w:t>
            </w:r>
          </w:p>
        </w:tc>
        <w:tc>
          <w:tcPr>
            <w:tcW w:type="pct" w:w="9%"/>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c>
          <w:tcPr>
            <w:tcW w:type="pct" w:w="11%"/>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Dragon</w:t>
            </w:r>
          </w:p>
        </w:tc>
        <w:tc>
          <w:tcPr>
            <w:tcW w:type="pct" w:w="9%"/>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T19</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H-X</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56</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Strata</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206.25°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T19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57</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Primeval</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210°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T19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w:t>
            </w:r>
          </w:p>
        </w:tc>
      </w:tr>
    </w:tbl>
    <w:p>
      <w:pPr>
        <w:spacing w:after="200" w:before="0"/>
      </w:pPr>
    </w:p>
    <w:p>
      <w:pPr>
        <w:pStyle w:val="Heading2"/>
        <w:spacing w:after="120" w:before="360" w:line="312" w:lineRule="auto"/>
      </w:pPr>
      <w:r>
        <w:rPr>
          <w:rFonts w:ascii="Cambria" w:cs="Cambria" w:eastAsia="Cambria" w:hAnsi="Cambria"/>
          <w:color w:val="7A5C1F"/>
          <w:sz w:val="36"/>
          <w:szCs w:val="36"/>
        </w:rPr>
        <w:t xml:space="preserve">Paths 58–76 — Owl of Sight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gridCol w:w="100"/>
      </w:tblGrid>
      <w:tr>
        <w:trPr>
          <w:tblHeader/>
        </w:trPr>
        <w:tc>
          <w:tcPr>
            <w:tcW w:type="pct" w:w="9%"/>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w:t>
            </w:r>
          </w:p>
        </w:tc>
        <w:tc>
          <w:tcPr>
            <w:tcW w:type="pct" w:w="18%"/>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Full Path Name</w:t>
            </w:r>
          </w:p>
        </w:tc>
        <w:tc>
          <w:tcPr>
            <w:tcW w:type="pct" w:w="11%"/>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θ°</w:t>
            </w:r>
          </w:p>
        </w:tc>
        <w:tc>
          <w:tcPr>
            <w:tcW w:type="pct" w:w="12%"/>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Polarity</w:t>
            </w:r>
          </w:p>
        </w:tc>
        <w:tc>
          <w:tcPr>
            <w:tcW w:type="pct" w:w="9%"/>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State</w:t>
            </w:r>
          </w:p>
        </w:tc>
        <w:tc>
          <w:tcPr>
            <w:tcW w:type="pct" w:w="11%"/>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Status</w:t>
            </w:r>
          </w:p>
        </w:tc>
        <w:tc>
          <w:tcPr>
            <w:tcW w:type="pct" w:w="9%"/>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Guardian</w:t>
            </w:r>
          </w:p>
        </w:tc>
        <w:tc>
          <w:tcPr>
            <w:tcW w:type="pct" w:w="9%"/>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Triad</w:t>
            </w:r>
          </w:p>
        </w:tc>
        <w:tc>
          <w:tcPr>
            <w:tcW w:type="pct" w:w="12%"/>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Hex.</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58</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Iris</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213.75°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T20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59</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Whisper</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217.5°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T20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60</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Oracle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221.25°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T20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61</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Cipher</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T21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62</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Veil</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228.75°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T21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63</w:t>
            </w:r>
          </w:p>
        </w:tc>
        <w:tc>
          <w:tcPr>
            <w:tcW w:type="pct" w:w="18%"/>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Path of the Augur</w:t>
            </w:r>
          </w:p>
        </w:tc>
        <w:tc>
          <w:tcPr>
            <w:tcW w:type="pct" w:w="11%"/>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232.5°</w:t>
            </w:r>
          </w:p>
        </w:tc>
        <w:tc>
          <w:tcPr>
            <w:tcW w:type="pct" w:w="12%"/>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 ◇</w:t>
            </w:r>
          </w:p>
        </w:tc>
        <w:tc>
          <w:tcPr>
            <w:tcW w:type="pct" w:w="9%"/>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c>
          <w:tcPr>
            <w:tcW w:type="pct" w:w="9%"/>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Owl</w:t>
            </w:r>
          </w:p>
        </w:tc>
        <w:tc>
          <w:tcPr>
            <w:tcW w:type="pct" w:w="9%"/>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T21</w:t>
            </w:r>
          </w:p>
        </w:tc>
        <w:tc>
          <w:tcPr>
            <w:tcW w:type="pct" w:w="12%"/>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H-XI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64</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Echo</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236.25°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T22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65</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Seer</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240°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T22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66</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Codex</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243.75°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T22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67</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Prism</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247.5°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T23</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68</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Omen</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251.25°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T23</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69</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Nocturne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255°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T23</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70</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Insight</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258.75°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T24</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71</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Sigil</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262.5°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T24</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72</w:t>
            </w:r>
          </w:p>
        </w:tc>
        <w:tc>
          <w:tcPr>
            <w:tcW w:type="pct" w:w="18%"/>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Path of the Arcanum</w:t>
            </w:r>
          </w:p>
        </w:tc>
        <w:tc>
          <w:tcPr>
            <w:tcW w:type="pct" w:w="11%"/>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266.25°</w:t>
            </w:r>
          </w:p>
        </w:tc>
        <w:tc>
          <w:tcPr>
            <w:tcW w:type="pct" w:w="12%"/>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 ◇</w:t>
            </w:r>
          </w:p>
        </w:tc>
        <w:tc>
          <w:tcPr>
            <w:tcW w:type="pct" w:w="9%"/>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c>
          <w:tcPr>
            <w:tcW w:type="pct" w:w="9%"/>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Owl</w:t>
            </w:r>
          </w:p>
        </w:tc>
        <w:tc>
          <w:tcPr>
            <w:tcW w:type="pct" w:w="9%"/>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T24</w:t>
            </w:r>
          </w:p>
        </w:tc>
        <w:tc>
          <w:tcPr>
            <w:tcW w:type="pct" w:w="12%"/>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H-XII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73</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Labyrinth</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270°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H-XIII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74</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Luminary</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273.75°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H-XIII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75</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Enigma</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277.5°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H-XIII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76</w:t>
            </w:r>
          </w:p>
        </w:tc>
        <w:tc>
          <w:tcPr>
            <w:tcW w:type="pct" w:w="1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Divination</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281.25°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T26</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H-XIII</w:t>
            </w:r>
          </w:p>
        </w:tc>
      </w:tr>
    </w:tbl>
    <w:p>
      <w:pPr>
        <w:spacing w:after="200" w:before="0"/>
      </w:pPr>
    </w:p>
    <w:p>
      <w:pPr>
        <w:pStyle w:val="Heading2"/>
        <w:spacing w:after="120" w:before="360" w:line="312" w:lineRule="auto"/>
      </w:pPr>
      <w:r>
        <w:rPr>
          <w:rFonts w:ascii="Cambria" w:cs="Cambria" w:eastAsia="Cambria" w:hAnsi="Cambria"/>
          <w:color w:val="7A5C1F"/>
          <w:sz w:val="36"/>
          <w:szCs w:val="36"/>
        </w:rPr>
        <w:t xml:space="preserve">Paths 77–96 — Raven of Passage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gridCol w:w="100"/>
      </w:tblGrid>
      <w:tr>
        <w:trPr>
          <w:tblHeader/>
        </w:trPr>
        <w:tc>
          <w:tcPr>
            <w:tcW w:type="pct" w:w="9%"/>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w:t>
            </w:r>
          </w:p>
        </w:tc>
        <w:tc>
          <w:tcPr>
            <w:tcW w:type="pct" w:w="17%"/>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Full Path Name</w:t>
            </w:r>
          </w:p>
        </w:tc>
        <w:tc>
          <w:tcPr>
            <w:tcW w:type="pct" w:w="11%"/>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θ°</w:t>
            </w:r>
          </w:p>
        </w:tc>
        <w:tc>
          <w:tcPr>
            <w:tcW w:type="pct" w:w="12%"/>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Polarity</w:t>
            </w:r>
          </w:p>
        </w:tc>
        <w:tc>
          <w:tcPr>
            <w:tcW w:type="pct" w:w="9%"/>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State</w:t>
            </w:r>
          </w:p>
        </w:tc>
        <w:tc>
          <w:tcPr>
            <w:tcW w:type="pct" w:w="11%"/>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Status</w:t>
            </w:r>
          </w:p>
        </w:tc>
        <w:tc>
          <w:tcPr>
            <w:tcW w:type="pct" w:w="10%"/>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Guardian</w:t>
            </w:r>
          </w:p>
        </w:tc>
        <w:tc>
          <w:tcPr>
            <w:tcW w:type="pct" w:w="9%"/>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Triad</w:t>
            </w:r>
          </w:p>
        </w:tc>
        <w:tc>
          <w:tcPr>
            <w:tcW w:type="pct" w:w="12%"/>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Hex.</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77</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Threshold</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285°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T26</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H-XIII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78</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Shadow</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288.75°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T26</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H-XIII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79</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Crossing</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292.5°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T27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H-XIV</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80</w:t>
            </w:r>
          </w:p>
        </w:tc>
        <w:tc>
          <w:tcPr>
            <w:tcW w:type="pct" w:w="17%"/>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Path of the Vestige</w:t>
            </w:r>
          </w:p>
        </w:tc>
        <w:tc>
          <w:tcPr>
            <w:tcW w:type="pct" w:w="11%"/>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296.25°</w:t>
            </w:r>
          </w:p>
        </w:tc>
        <w:tc>
          <w:tcPr>
            <w:tcW w:type="pct" w:w="12%"/>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 ◇</w:t>
            </w:r>
          </w:p>
        </w:tc>
        <w:tc>
          <w:tcPr>
            <w:tcW w:type="pct" w:w="9%"/>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Raven</w:t>
            </w:r>
          </w:p>
        </w:tc>
        <w:tc>
          <w:tcPr>
            <w:tcW w:type="pct" w:w="9%"/>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T27</w:t>
            </w:r>
          </w:p>
        </w:tc>
        <w:tc>
          <w:tcPr>
            <w:tcW w:type="pct" w:w="12%"/>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H-XIV</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81</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Requiem</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300°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T27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H-XIV</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82</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Passage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303.75°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T28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H-XIV</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83</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Shroud</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307.5°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T28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H-XIV</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84</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Revenant</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311.25°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T28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H-XIV</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85</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Dusk</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315°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T29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H-XV</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86</w:t>
            </w:r>
          </w:p>
        </w:tc>
        <w:tc>
          <w:tcPr>
            <w:tcW w:type="pct" w:w="17%"/>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Path of the Specter</w:t>
            </w:r>
          </w:p>
        </w:tc>
        <w:tc>
          <w:tcPr>
            <w:tcW w:type="pct" w:w="11%"/>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318.75°</w:t>
            </w:r>
          </w:p>
        </w:tc>
        <w:tc>
          <w:tcPr>
            <w:tcW w:type="pct" w:w="12%"/>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 ◇</w:t>
            </w:r>
          </w:p>
        </w:tc>
        <w:tc>
          <w:tcPr>
            <w:tcW w:type="pct" w:w="9%"/>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Raven</w:t>
            </w:r>
          </w:p>
        </w:tc>
        <w:tc>
          <w:tcPr>
            <w:tcW w:type="pct" w:w="9%"/>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T29</w:t>
            </w:r>
          </w:p>
        </w:tc>
        <w:tc>
          <w:tcPr>
            <w:tcW w:type="pct" w:w="12%"/>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H-XV</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87</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Waning</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322.5°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T29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H-XV</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88</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Ossuary</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326.25°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T30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H-XV</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89</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Terminus</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330°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T30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H-XV</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90</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Crypt</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333.75°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T30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H-XV</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91</w:t>
            </w:r>
          </w:p>
        </w:tc>
        <w:tc>
          <w:tcPr>
            <w:tcW w:type="pct" w:w="17%"/>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Path of the Hollow</w:t>
            </w:r>
          </w:p>
        </w:tc>
        <w:tc>
          <w:tcPr>
            <w:tcW w:type="pct" w:w="11%"/>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337.5°</w:t>
            </w:r>
          </w:p>
        </w:tc>
        <w:tc>
          <w:tcPr>
            <w:tcW w:type="pct" w:w="12%"/>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 ◇</w:t>
            </w:r>
          </w:p>
        </w:tc>
        <w:tc>
          <w:tcPr>
            <w:tcW w:type="pct" w:w="9%"/>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Raven</w:t>
            </w:r>
          </w:p>
        </w:tc>
        <w:tc>
          <w:tcPr>
            <w:tcW w:type="pct" w:w="9%"/>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T31</w:t>
            </w:r>
          </w:p>
        </w:tc>
        <w:tc>
          <w:tcPr>
            <w:tcW w:type="pct" w:w="12%"/>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H-XVI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92</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Eventide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341.25°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T31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H-XVI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93</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Penumbra</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345°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T31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H-XVI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94</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Nexus</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348.75°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T32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H-XVI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95</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Void</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352.5°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T32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H-XVI</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96</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Return</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356.25°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 ⊕</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T32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H-XVI</w:t>
            </w:r>
          </w:p>
        </w:tc>
      </w:tr>
    </w:tbl>
    <w:p>
      <w:pPr>
        <w:spacing w:after="200" w:before="0"/>
      </w:pPr>
    </w:p>
    <w:p>
      <w:pPr>
        <w:pBdr>
          <w:bottom w:val="single" w:color="C9A84C" w:sz="6"/>
        </w:pBdr>
        <w:spacing w:after="240" w:before="240"/>
      </w:pPr>
    </w:p>
    <w:p>
      <w:pPr>
        <w:pStyle w:val="Heading1"/>
        <w:spacing w:after="120" w:before="480" w:line="312" w:lineRule="auto"/>
      </w:pPr>
      <w:r>
        <w:rPr>
          <w:rFonts w:ascii="Cambria" w:cs="Cambria" w:eastAsia="Cambria" w:hAnsi="Cambria"/>
          <w:color w:val="7A5C1F"/>
          <w:sz w:val="48"/>
          <w:szCs w:val="48"/>
        </w:rPr>
        <w:t xml:space="preserve">III. Alphabetical Index — A–Z by Path Name</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The following table presents all 96 paths sorted alphabetically by their common name (the "Path of the" prefix is omitted for sorting purposes). This index enables rapid lookup when the practitioner recalls a name but requires its number, angle, or Guardian affiliation.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25%"/>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Name</w:t>
            </w:r>
          </w:p>
        </w:tc>
        <w:tc>
          <w:tcPr>
            <w:tcW w:type="pct" w:w="10%"/>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w:t>
            </w:r>
          </w:p>
        </w:tc>
        <w:tc>
          <w:tcPr>
            <w:tcW w:type="pct" w:w="16%"/>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θ°</w:t>
            </w:r>
          </w:p>
        </w:tc>
        <w:tc>
          <w:tcPr>
            <w:tcW w:type="pct" w:w="16%"/>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Guardian</w:t>
            </w:r>
          </w:p>
        </w:tc>
        <w:tc>
          <w:tcPr>
            <w:tcW w:type="pct" w:w="16%"/>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Polarity</w:t>
            </w:r>
          </w:p>
        </w:tc>
        <w:tc>
          <w:tcPr>
            <w:tcW w:type="pct" w:w="17%"/>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Status</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Abyss</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43</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157.5°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Aegis</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11.25°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Apex</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52.5°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Arcanum</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72</w:t>
            </w:r>
          </w:p>
        </w:tc>
        <w:tc>
          <w:tcPr>
            <w:tcW w:type="pct" w:w="16%"/>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266.25°</w:t>
            </w:r>
          </w:p>
        </w:tc>
        <w:tc>
          <w:tcPr>
            <w:tcW w:type="pct" w:w="16%"/>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Owl</w:t>
            </w:r>
          </w:p>
        </w:tc>
        <w:tc>
          <w:tcPr>
            <w:tcW w:type="pct" w:w="16%"/>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c>
          <w:tcPr>
            <w:tcW w:type="pct" w:w="17%"/>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Ascension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32</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116.25°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Augur</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63</w:t>
            </w:r>
          </w:p>
        </w:tc>
        <w:tc>
          <w:tcPr>
            <w:tcW w:type="pct" w:w="16%"/>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232.5°</w:t>
            </w:r>
          </w:p>
        </w:tc>
        <w:tc>
          <w:tcPr>
            <w:tcW w:type="pct" w:w="16%"/>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Owl</w:t>
            </w:r>
          </w:p>
        </w:tc>
        <w:tc>
          <w:tcPr>
            <w:tcW w:type="pct" w:w="16%"/>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c>
          <w:tcPr>
            <w:tcW w:type="pct" w:w="17%"/>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Aurora</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29</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105°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Bastion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Bedrock</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47</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172.5°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Blaze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33</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120°</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Catalyst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30</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108.75°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Cinder</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22</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78.75°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Cipher</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61</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Codex</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66</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243.75°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Coil</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44</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161.25°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Crossing</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79</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292.5°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Crown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Crucible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24</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86.25°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Crypt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90</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333.75°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Dawn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36</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131.25°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Divination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76</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281.25°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Dominion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13</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Draconis</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50</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183.75°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Dusk</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85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315°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Earthstone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42</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153.75°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Echo</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64</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236.25°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Ember</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20</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71.25°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Enigma</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277.5°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Eventide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92</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341.25°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Firmament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165°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Flare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90°</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Forge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9</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30°</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Gale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51</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187.5°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Garrison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17</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60°</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Herald</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Hollow</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91</w:t>
            </w:r>
          </w:p>
        </w:tc>
        <w:tc>
          <w:tcPr>
            <w:tcW w:type="pct" w:w="16%"/>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337.5°</w:t>
            </w:r>
          </w:p>
        </w:tc>
        <w:tc>
          <w:tcPr>
            <w:tcW w:type="pct" w:w="16%"/>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Raven</w:t>
            </w:r>
          </w:p>
        </w:tc>
        <w:tc>
          <w:tcPr>
            <w:tcW w:type="pct" w:w="16%"/>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c>
          <w:tcPr>
            <w:tcW w:type="pct" w:w="17%"/>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Ignition</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28</w:t>
            </w:r>
          </w:p>
        </w:tc>
        <w:tc>
          <w:tcPr>
            <w:tcW w:type="pct" w:w="16%"/>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101.25°</w:t>
            </w:r>
          </w:p>
        </w:tc>
        <w:tc>
          <w:tcPr>
            <w:tcW w:type="pct" w:w="16%"/>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Phoenix</w:t>
            </w:r>
          </w:p>
        </w:tc>
        <w:tc>
          <w:tcPr>
            <w:tcW w:type="pct" w:w="16%"/>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c>
          <w:tcPr>
            <w:tcW w:type="pct" w:w="17%"/>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Immolation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127.5°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Insight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70</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258.75°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Iris</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58</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213.75°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Kindle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23</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82.5°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Labyrinth</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73</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270°</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Leviathan</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46</w:t>
            </w:r>
          </w:p>
        </w:tc>
        <w:tc>
          <w:tcPr>
            <w:tcW w:type="pct" w:w="16%"/>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168.75°</w:t>
            </w:r>
          </w:p>
        </w:tc>
        <w:tc>
          <w:tcPr>
            <w:tcW w:type="pct" w:w="16%"/>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Dragon</w:t>
            </w:r>
          </w:p>
        </w:tc>
        <w:tc>
          <w:tcPr>
            <w:tcW w:type="pct" w:w="16%"/>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c>
          <w:tcPr>
            <w:tcW w:type="pct" w:w="17%"/>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Luminary</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74</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273.75°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Mandate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8</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26.25°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Meridian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49</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180°</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Monolith</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52</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191.25°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Nexus</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94</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348.75°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Nocturne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69</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255°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Obsidian</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55</w:t>
            </w:r>
          </w:p>
        </w:tc>
        <w:tc>
          <w:tcPr>
            <w:tcW w:type="pct" w:w="16%"/>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202.5°</w:t>
            </w:r>
          </w:p>
        </w:tc>
        <w:tc>
          <w:tcPr>
            <w:tcW w:type="pct" w:w="16%"/>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Dragon</w:t>
            </w:r>
          </w:p>
        </w:tc>
        <w:tc>
          <w:tcPr>
            <w:tcW w:type="pct" w:w="16%"/>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c>
          <w:tcPr>
            <w:tcW w:type="pct" w:w="17%"/>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Omen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68</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251.25°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Oracle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60</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221.25°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Ossuary</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88</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326.25°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Passage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82</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303.75°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Penumbra</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93</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345°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 Heart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38</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138.75°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Primeval</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57</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210°</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Prism</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67</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247.5°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Pyre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21</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Radiance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27</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97.5°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Rampart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14</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48.75°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Renewal</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34</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123.75°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Requiem</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81</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300°</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Return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96</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356.25°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Revenant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84</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311.25°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Rift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53</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195°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Scale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39</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142.5°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Seer</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240°</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Sentinel</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10</w:t>
            </w:r>
          </w:p>
        </w:tc>
        <w:tc>
          <w:tcPr>
            <w:tcW w:type="pct" w:w="16%"/>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33.75°</w:t>
            </w:r>
          </w:p>
        </w:tc>
        <w:tc>
          <w:tcPr>
            <w:tcW w:type="pct" w:w="16%"/>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Lion</w:t>
            </w:r>
          </w:p>
        </w:tc>
        <w:tc>
          <w:tcPr>
            <w:tcW w:type="pct" w:w="16%"/>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c>
          <w:tcPr>
            <w:tcW w:type="pct" w:w="17%"/>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Shadow</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78</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288.75°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Shroud</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83</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307.5°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Sigil</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71</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262.5°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Solstice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26</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93.75°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Sovereign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16</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56.25°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Specter</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86</w:t>
            </w:r>
          </w:p>
        </w:tc>
        <w:tc>
          <w:tcPr>
            <w:tcW w:type="pct" w:w="16%"/>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318.75°</w:t>
            </w:r>
          </w:p>
        </w:tc>
        <w:tc>
          <w:tcPr>
            <w:tcW w:type="pct" w:w="16%"/>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Raven</w:t>
            </w:r>
          </w:p>
        </w:tc>
        <w:tc>
          <w:tcPr>
            <w:tcW w:type="pct" w:w="16%"/>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c>
          <w:tcPr>
            <w:tcW w:type="pct" w:w="17%"/>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Standard</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18.75°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Strata</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56</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206.25°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Tempering</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31</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112.5°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Tempest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41</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150°</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Terminus</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89</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330°</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Threshold</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77</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285°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Throne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Tidecaller</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54</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198.75°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Torrent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48</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176.25°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Transfiguration</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37</w:t>
            </w:r>
          </w:p>
        </w:tc>
        <w:tc>
          <w:tcPr>
            <w:tcW w:type="pct" w:w="16%"/>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135°</w:t>
            </w:r>
          </w:p>
        </w:tc>
        <w:tc>
          <w:tcPr>
            <w:tcW w:type="pct" w:w="16%"/>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Phoenix</w:t>
            </w:r>
          </w:p>
        </w:tc>
        <w:tc>
          <w:tcPr>
            <w:tcW w:type="pct" w:w="16%"/>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c>
          <w:tcPr>
            <w:tcW w:type="pct" w:w="17%"/>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Tribute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18</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63.75°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Valor</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12</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41.25°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Vanguard</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Veil</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62</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228.75°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Vestige</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80</w:t>
            </w:r>
          </w:p>
        </w:tc>
        <w:tc>
          <w:tcPr>
            <w:tcW w:type="pct" w:w="16%"/>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296.25°</w:t>
            </w:r>
          </w:p>
        </w:tc>
        <w:tc>
          <w:tcPr>
            <w:tcW w:type="pct" w:w="16%"/>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Raven</w:t>
            </w:r>
          </w:p>
        </w:tc>
        <w:tc>
          <w:tcPr>
            <w:tcW w:type="pct" w:w="16%"/>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c>
          <w:tcPr>
            <w:tcW w:type="pct" w:w="17%"/>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Vigilance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19</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Void</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95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352.5°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Waning</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87</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322.5°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Warden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11</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2A5E1E"/>
                <w:sz w:val="18"/>
                <w:szCs w:val="18"/>
              </w:rPr>
              <w:t xml:space="preserve">Angelu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Whisper</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59</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217.5°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Neutral</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2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Wyrm</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40</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146.25°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8B1A1A"/>
                <w:sz w:val="18"/>
                <w:szCs w:val="18"/>
              </w:rPr>
              <w:t xml:space="preserve">Deminu</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bl>
    <w:p>
      <w:pPr>
        <w:spacing w:after="200" w:before="0"/>
      </w:pPr>
    </w:p>
    <w:p>
      <w:pPr>
        <w:pBdr>
          <w:bottom w:val="single" w:color="C9A84C" w:sz="6"/>
        </w:pBdr>
        <w:spacing w:after="240" w:before="240"/>
      </w:pPr>
    </w:p>
    <w:p>
      <w:pPr>
        <w:pStyle w:val="Heading1"/>
        <w:spacing w:after="120" w:before="480" w:line="312" w:lineRule="auto"/>
      </w:pPr>
      <w:r>
        <w:rPr>
          <w:rFonts w:ascii="Cambria" w:cs="Cambria" w:eastAsia="Cambria" w:hAnsi="Cambria"/>
          <w:color w:val="7A5C1F"/>
          <w:sz w:val="48"/>
          <w:szCs w:val="48"/>
        </w:rPr>
        <w:t xml:space="preserve">IV. Thematic Index — Paths by Guardian</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The five Guardians preside over contiguous arcs of the lattice circle. Each Guardian governs a distinct thematic domain. Dormant paths are marked with an asterisk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9A84C" w:sz="6"/>
              <w:left w:val="single" w:color="C9A84C" w:sz="6"/>
              <w:bottom w:val="single" w:color="C9A84C" w:sz="6"/>
              <w:right w:val="single" w:color="C9A84C" w:sz="6"/>
            </w:tcBorders>
            <w:shd w:fill="F5ECD5" w:color="auto" w:val="clear"/>
            <w:tcMar>
              <w:top w:type="dxa" w:w="120"/>
              <w:left w:type="dxa" w:w="180"/>
              <w:bottom w:type="dxa" w:w="120"/>
              <w:right w:type="dxa" w:w="180"/>
            </w:tcMar>
          </w:tcPr>
          <w:p>
            <w:pPr>
              <w:spacing w:after="120" w:line="408" w:lineRule="auto"/>
            </w:pPr>
            <w:r>
              <w:t xml:space="preserve">LION THE SOVEREIGN</w:t>
            </w:r>
          </w:p>
          <w:p>
            <w:pPr>
              <w:spacing w:after="120" w:line="408" w:lineRule="auto"/>
            </w:pPr>
            <w:r>
              <w:t xml:space="preserve">—</w:t>
            </w:r>
          </w:p>
          <w:p>
            <w:pPr>
              <w:spacing w:after="120" w:line="408" w:lineRule="auto"/>
            </w:pPr>
            <w:r>
              <w:t xml:space="preserve">19 Paths (1</w:t>
            </w:r>
          </w:p>
          <w:p>
            <w:pPr>
              <w:spacing w:after="120" w:line="408" w:lineRule="auto"/>
            </w:pPr>
            <w:r>
              <w:t xml:space="preserve">–</w:t>
            </w:r>
          </w:p>
          <w:p>
            <w:pPr>
              <w:spacing w:after="120" w:line="408" w:lineRule="auto"/>
            </w:pPr>
            <w:r>
              <w:t xml:space="preserve">19)</w:t>
            </w:r>
          </w:p>
          <w:p>
            <w:pPr>
              <w:spacing w:after="120" w:line="408" w:lineRule="auto"/>
            </w:pPr>
            <w:r>
              <w:t xml:space="preserve">|</w:t>
            </w:r>
          </w:p>
          <w:p>
            <w:pPr>
              <w:spacing w:after="120" w:line="408" w:lineRule="auto"/>
            </w:pPr>
            <w:r>
              <w:t xml:space="preserve">Arc: 0°</w:t>
            </w:r>
          </w:p>
          <w:p>
            <w:pPr>
              <w:spacing w:after="120" w:line="408" w:lineRule="auto"/>
            </w:pPr>
            <w:r>
              <w:t xml:space="preserve">–</w:t>
            </w:r>
          </w:p>
          <w:p>
            <w:pPr>
              <w:spacing w:after="120" w:line="408" w:lineRule="auto"/>
            </w:pPr>
            <w:r>
              <w:t xml:space="preserve">67.5°</w:t>
            </w:r>
          </w:p>
          <w:p>
            <w:pPr>
              <w:spacing w:after="120" w:line="408" w:lineRule="auto"/>
            </w:pPr>
            <w:r>
              <w:t xml:space="preserve">Authority, governance, protection, martial strength.</w:t>
            </w:r>
          </w:p>
        </w:tc>
      </w:tr>
    </w:tbl>
    <w:p>
      <w:pPr>
        <w:spacing w:after="24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1‑Crown, 2‑Throne, 3‑Herald, 4‑Aegis, 5‑Vanguard, 6‑Standard, 7‑Bastion, 8‑Mandate, 9‑Forge, 10‑Sentinel*, 11‑Warden, 12‑Valor, 13‑Dominion, 14‑Rampart, 15‑Apex, 16‑Sovereign, 17‑Garrison, 18‑Tribute, 19‑Vigilance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9A84C" w:sz="6"/>
              <w:left w:val="single" w:color="C9A84C" w:sz="6"/>
              <w:bottom w:val="single" w:color="C9A84C" w:sz="6"/>
              <w:right w:val="single" w:color="C9A84C" w:sz="6"/>
            </w:tcBorders>
            <w:shd w:fill="F5ECD5" w:color="auto" w:val="clear"/>
            <w:tcMar>
              <w:top w:type="dxa" w:w="120"/>
              <w:left w:type="dxa" w:w="180"/>
              <w:bottom w:type="dxa" w:w="120"/>
              <w:right w:type="dxa" w:w="180"/>
            </w:tcMar>
          </w:tcPr>
          <w:p>
            <w:pPr>
              <w:spacing w:after="120" w:line="408" w:lineRule="auto"/>
            </w:pPr>
            <w:r>
              <w:t xml:space="preserve">PHOENIX OF REBIRTH</w:t>
            </w:r>
          </w:p>
          <w:p>
            <w:pPr>
              <w:spacing w:after="120" w:line="408" w:lineRule="auto"/>
            </w:pPr>
            <w:r>
              <w:t xml:space="preserve">—</w:t>
            </w:r>
          </w:p>
          <w:p>
            <w:pPr>
              <w:spacing w:after="120" w:line="408" w:lineRule="auto"/>
            </w:pPr>
            <w:r>
              <w:t xml:space="preserve">19 Paths (20</w:t>
            </w:r>
          </w:p>
          <w:p>
            <w:pPr>
              <w:spacing w:after="120" w:line="408" w:lineRule="auto"/>
            </w:pPr>
            <w:r>
              <w:t xml:space="preserve">–</w:t>
            </w:r>
          </w:p>
          <w:p>
            <w:pPr>
              <w:spacing w:after="120" w:line="408" w:lineRule="auto"/>
            </w:pPr>
            <w:r>
              <w:t xml:space="preserve">38)</w:t>
            </w:r>
          </w:p>
          <w:p>
            <w:pPr>
              <w:spacing w:after="120" w:line="408" w:lineRule="auto"/>
            </w:pPr>
            <w:r>
              <w:t xml:space="preserve">|</w:t>
            </w:r>
          </w:p>
          <w:p>
            <w:pPr>
              <w:spacing w:after="120" w:line="408" w:lineRule="auto"/>
            </w:pPr>
            <w:r>
              <w:t xml:space="preserve">Arc: 71.25°</w:t>
            </w:r>
          </w:p>
          <w:p>
            <w:pPr>
              <w:spacing w:after="120" w:line="408" w:lineRule="auto"/>
            </w:pPr>
            <w:r>
              <w:t xml:space="preserve">–</w:t>
            </w:r>
          </w:p>
          <w:p>
            <w:pPr>
              <w:spacing w:after="120" w:line="408" w:lineRule="auto"/>
            </w:pPr>
            <w:r>
              <w:t xml:space="preserve">138.75°</w:t>
            </w:r>
          </w:p>
          <w:p>
            <w:pPr>
              <w:spacing w:after="120" w:line="408" w:lineRule="auto"/>
            </w:pPr>
            <w:r>
              <w:t xml:space="preserve">Fire, transformation, cycles of death and renewal, ascending force.</w:t>
            </w:r>
          </w:p>
        </w:tc>
      </w:tr>
    </w:tbl>
    <w:p>
      <w:pPr>
        <w:spacing w:after="24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20‑Ember, 21‑Pyre, 22‑Cinder, 23‑Kindle, 24‑Crucible, 25‑Flare, 26‑Solstice, 27‑Radiance, 28‑Ignition*, 29‑Aurora, 30‑Catalyst, 31‑Tempering, 32‑Ascension, 33‑Blaze, 34‑Renewal, 35‑Immolation, 36‑Dawn, 37‑Transfiguration*, 38‑Phoenix Heart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9A84C" w:sz="6"/>
              <w:left w:val="single" w:color="C9A84C" w:sz="6"/>
              <w:bottom w:val="single" w:color="C9A84C" w:sz="6"/>
              <w:right w:val="single" w:color="C9A84C" w:sz="6"/>
            </w:tcBorders>
            <w:shd w:fill="F5ECD5" w:color="auto" w:val="clear"/>
            <w:tcMar>
              <w:top w:type="dxa" w:w="120"/>
              <w:left w:type="dxa" w:w="180"/>
              <w:bottom w:type="dxa" w:w="120"/>
              <w:right w:type="dxa" w:w="180"/>
            </w:tcMar>
          </w:tcPr>
          <w:p>
            <w:pPr>
              <w:spacing w:after="120" w:line="408" w:lineRule="auto"/>
            </w:pPr>
            <w:r>
              <w:t xml:space="preserve">DRAGON OF WISDOM</w:t>
            </w:r>
          </w:p>
          <w:p>
            <w:pPr>
              <w:spacing w:after="120" w:line="408" w:lineRule="auto"/>
            </w:pPr>
            <w:r>
              <w:t xml:space="preserve">—</w:t>
            </w:r>
          </w:p>
          <w:p>
            <w:pPr>
              <w:spacing w:after="120" w:line="408" w:lineRule="auto"/>
            </w:pPr>
            <w:r>
              <w:t xml:space="preserve">19 Paths (39</w:t>
            </w:r>
          </w:p>
          <w:p>
            <w:pPr>
              <w:spacing w:after="120" w:line="408" w:lineRule="auto"/>
            </w:pPr>
            <w:r>
              <w:t xml:space="preserve">–</w:t>
            </w:r>
          </w:p>
          <w:p>
            <w:pPr>
              <w:spacing w:after="120" w:line="408" w:lineRule="auto"/>
            </w:pPr>
            <w:r>
              <w:t xml:space="preserve">57)</w:t>
            </w:r>
          </w:p>
          <w:p>
            <w:pPr>
              <w:spacing w:after="120" w:line="408" w:lineRule="auto"/>
            </w:pPr>
            <w:r>
              <w:t xml:space="preserve">|</w:t>
            </w:r>
          </w:p>
          <w:p>
            <w:pPr>
              <w:spacing w:after="120" w:line="408" w:lineRule="auto"/>
            </w:pPr>
            <w:r>
              <w:t xml:space="preserve">Arc: 142.5°</w:t>
            </w:r>
          </w:p>
          <w:p>
            <w:pPr>
              <w:spacing w:after="120" w:line="408" w:lineRule="auto"/>
            </w:pPr>
            <w:r>
              <w:t xml:space="preserve">–</w:t>
            </w:r>
          </w:p>
          <w:p>
            <w:pPr>
              <w:spacing w:after="120" w:line="408" w:lineRule="auto"/>
            </w:pPr>
            <w:r>
              <w:t xml:space="preserve">210°</w:t>
            </w:r>
          </w:p>
          <w:p>
            <w:pPr>
              <w:spacing w:after="120" w:line="408" w:lineRule="auto"/>
            </w:pPr>
            <w:r>
              <w:t xml:space="preserve">Earth, depth, primordial knowledge, elemental power, the deep.</w:t>
            </w:r>
          </w:p>
        </w:tc>
      </w:tr>
    </w:tbl>
    <w:p>
      <w:pPr>
        <w:spacing w:after="24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39‑Scale, 40‑Wyrm, 41‑Tempest, 42‑Earthstone, 43‑Abyss, 44‑Coil, 45‑Firmament, 46‑Leviathan*, 47‑Bedrock, 48‑Torrent, 49‑Meridian, 50‑Draconis, 51‑Gale, 52‑Monolith, 53‑Rift, 54‑Tidecaller, 55‑Obsidian*, 56‑Strata, 57‑Primeval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9A84C" w:sz="6"/>
              <w:left w:val="single" w:color="C9A84C" w:sz="6"/>
              <w:bottom w:val="single" w:color="C9A84C" w:sz="6"/>
              <w:right w:val="single" w:color="C9A84C" w:sz="6"/>
            </w:tcBorders>
            <w:shd w:fill="F5ECD5" w:color="auto" w:val="clear"/>
            <w:tcMar>
              <w:top w:type="dxa" w:w="120"/>
              <w:left w:type="dxa" w:w="180"/>
              <w:bottom w:type="dxa" w:w="120"/>
              <w:right w:type="dxa" w:w="180"/>
            </w:tcMar>
          </w:tcPr>
          <w:p>
            <w:pPr>
              <w:spacing w:after="120" w:line="408" w:lineRule="auto"/>
            </w:pPr>
            <w:r>
              <w:t xml:space="preserve">OWL OF SIGHT</w:t>
            </w:r>
          </w:p>
          <w:p>
            <w:pPr>
              <w:spacing w:after="120" w:line="408" w:lineRule="auto"/>
            </w:pPr>
            <w:r>
              <w:t xml:space="preserve">—</w:t>
            </w:r>
          </w:p>
          <w:p>
            <w:pPr>
              <w:spacing w:after="120" w:line="408" w:lineRule="auto"/>
            </w:pPr>
            <w:r>
              <w:t xml:space="preserve">19 Paths (58</w:t>
            </w:r>
          </w:p>
          <w:p>
            <w:pPr>
              <w:spacing w:after="120" w:line="408" w:lineRule="auto"/>
            </w:pPr>
            <w:r>
              <w:t xml:space="preserve">–</w:t>
            </w:r>
          </w:p>
          <w:p>
            <w:pPr>
              <w:spacing w:after="120" w:line="408" w:lineRule="auto"/>
            </w:pPr>
            <w:r>
              <w:t xml:space="preserve">76)</w:t>
            </w:r>
          </w:p>
          <w:p>
            <w:pPr>
              <w:spacing w:after="120" w:line="408" w:lineRule="auto"/>
            </w:pPr>
            <w:r>
              <w:t xml:space="preserve">|</w:t>
            </w:r>
          </w:p>
          <w:p>
            <w:pPr>
              <w:spacing w:after="120" w:line="408" w:lineRule="auto"/>
            </w:pPr>
            <w:r>
              <w:t xml:space="preserve">Arc: 213.75°</w:t>
            </w:r>
          </w:p>
          <w:p>
            <w:pPr>
              <w:spacing w:after="120" w:line="408" w:lineRule="auto"/>
            </w:pPr>
            <w:r>
              <w:t xml:space="preserve">–</w:t>
            </w:r>
          </w:p>
          <w:p>
            <w:pPr>
              <w:spacing w:after="120" w:line="408" w:lineRule="auto"/>
            </w:pPr>
            <w:r>
              <w:t xml:space="preserve">281.25°</w:t>
            </w:r>
          </w:p>
          <w:p>
            <w:pPr>
              <w:spacing w:after="120" w:line="408" w:lineRule="auto"/>
            </w:pPr>
            <w:r>
              <w:t xml:space="preserve">Perception, mystery, divination, knowledge, the unseen.</w:t>
            </w:r>
          </w:p>
        </w:tc>
      </w:tr>
    </w:tbl>
    <w:p>
      <w:pPr>
        <w:spacing w:after="24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58‑Iris, 59‑Whisper, 60‑Oracle, 61‑Cipher, 62‑Veil, 63‑Augur*, 64‑Echo, 65‑Seer, 66‑Codex, 67‑Prism, 68‑Omen, 69‑Nocturne, 70‑Insight, 71‑Sigil, 72‑Arcanum*, 73‑Labyrinth, 74‑Luminary, 75‑Enigma, 76‑Divination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9A84C" w:sz="6"/>
              <w:left w:val="single" w:color="C9A84C" w:sz="6"/>
              <w:bottom w:val="single" w:color="C9A84C" w:sz="6"/>
              <w:right w:val="single" w:color="C9A84C" w:sz="6"/>
            </w:tcBorders>
            <w:shd w:fill="F5ECD5" w:color="auto" w:val="clear"/>
            <w:tcMar>
              <w:top w:type="dxa" w:w="120"/>
              <w:left w:type="dxa" w:w="180"/>
              <w:bottom w:type="dxa" w:w="120"/>
              <w:right w:type="dxa" w:w="180"/>
            </w:tcMar>
          </w:tcPr>
          <w:p>
            <w:pPr>
              <w:spacing w:after="120" w:line="408" w:lineRule="auto"/>
            </w:pPr>
            <w:r>
              <w:t xml:space="preserve">RAVEN OF PASSAGE</w:t>
            </w:r>
          </w:p>
          <w:p>
            <w:pPr>
              <w:spacing w:after="120" w:line="408" w:lineRule="auto"/>
            </w:pPr>
            <w:r>
              <w:t xml:space="preserve">—</w:t>
            </w:r>
          </w:p>
          <w:p>
            <w:pPr>
              <w:spacing w:after="120" w:line="408" w:lineRule="auto"/>
            </w:pPr>
            <w:r>
              <w:t xml:space="preserve">20 Paths (77</w:t>
            </w:r>
          </w:p>
          <w:p>
            <w:pPr>
              <w:spacing w:after="120" w:line="408" w:lineRule="auto"/>
            </w:pPr>
            <w:r>
              <w:t xml:space="preserve">–</w:t>
            </w:r>
          </w:p>
          <w:p>
            <w:pPr>
              <w:spacing w:after="120" w:line="408" w:lineRule="auto"/>
            </w:pPr>
            <w:r>
              <w:t xml:space="preserve">96)</w:t>
            </w:r>
          </w:p>
          <w:p>
            <w:pPr>
              <w:spacing w:after="120" w:line="408" w:lineRule="auto"/>
            </w:pPr>
            <w:r>
              <w:t xml:space="preserve">|</w:t>
            </w:r>
          </w:p>
          <w:p>
            <w:pPr>
              <w:spacing w:after="120" w:line="408" w:lineRule="auto"/>
            </w:pPr>
            <w:r>
              <w:t xml:space="preserve">Arc: 285°</w:t>
            </w:r>
          </w:p>
          <w:p>
            <w:pPr>
              <w:spacing w:after="120" w:line="408" w:lineRule="auto"/>
            </w:pPr>
            <w:r>
              <w:t xml:space="preserve">–</w:t>
            </w:r>
          </w:p>
          <w:p>
            <w:pPr>
              <w:spacing w:after="120" w:line="408" w:lineRule="auto"/>
            </w:pPr>
            <w:r>
              <w:t xml:space="preserve">356.25°</w:t>
            </w:r>
          </w:p>
          <w:p>
            <w:pPr>
              <w:spacing w:after="120" w:line="408" w:lineRule="auto"/>
            </w:pPr>
            <w:r>
              <w:t xml:space="preserve">Transition, endings, shadow, the liminal, death and return.</w:t>
            </w:r>
          </w:p>
        </w:tc>
      </w:tr>
    </w:tbl>
    <w:p>
      <w:pPr>
        <w:spacing w:after="24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77‑Threshold, 78‑Shadow, 79‑Crossing, 80‑Vestige*, 81‑Requiem, 82‑Passage, 83‑Shroud, 84‑Revenant, 85‑Dusk, 86‑Specter*, 87‑Waning, 88‑Ossuary, 89‑Terminus, 90‑Crypt, 91‑Hollow*, 92‑Eventide, 93‑Penumbra, 94‑Nexus, 95‑Void, 96‑Return</w:t>
      </w:r>
    </w:p>
    <w:p>
      <w:pPr>
        <w:pBdr>
          <w:bottom w:val="single" w:color="C9A84C" w:sz="6"/>
        </w:pBdr>
        <w:spacing w:after="240" w:before="240"/>
      </w:pPr>
    </w:p>
    <w:p>
      <w:pPr>
        <w:pStyle w:val="Heading1"/>
        <w:spacing w:after="120" w:before="480" w:line="312" w:lineRule="auto"/>
      </w:pPr>
      <w:r>
        <w:rPr>
          <w:rFonts w:ascii="Cambria" w:cs="Cambria" w:eastAsia="Cambria" w:hAnsi="Cambria"/>
          <w:color w:val="7A5C1F"/>
          <w:sz w:val="48"/>
          <w:szCs w:val="48"/>
        </w:rPr>
        <w:t xml:space="preserve">V. Polarity Index — Paths by State</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Every path in the 96-Path lattice carries a polarity charge that defines its fundamental orientation within the system. The four polarity classes are enumerated below with their constituent paths.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9A84C" w:sz="6"/>
              <w:left w:val="single" w:color="C9A84C" w:sz="6"/>
              <w:bottom w:val="single" w:color="C9A84C" w:sz="6"/>
              <w:right w:val="single" w:color="C9A84C" w:sz="6"/>
            </w:tcBorders>
            <w:shd w:fill="FDF8EC" w:color="auto" w:val="clear"/>
            <w:tcMar>
              <w:top w:type="dxa" w:w="120"/>
              <w:left w:type="dxa" w:w="180"/>
              <w:bottom w:type="dxa" w:w="120"/>
              <w:right w:type="dxa" w:w="180"/>
            </w:tcMar>
          </w:tcPr>
          <w:p>
            <w:pPr>
              <w:spacing w:after="120" w:line="408" w:lineRule="auto"/>
            </w:pPr>
            <w:r>
              <w:t xml:space="preserve">ANGELU PATHS ⊕ — 30 Total (State = +1)</w:t>
            </w:r>
          </w:p>
          <w:p>
            <w:pPr>
              <w:spacing w:after="120" w:line="408" w:lineRule="auto"/>
            </w:pPr>
            <w:r>
              <w:t xml:space="preserve">Light, ascension, generative force.</w:t>
            </w:r>
          </w:p>
        </w:tc>
      </w:tr>
    </w:tbl>
    <w:p>
      <w:pPr>
        <w:spacing w:after="24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Crown (1), Throne (2), Aegis (4), Vanguard (5), Mandate (8), Warden (11), Valor (12), Apex (15), Ember (20), Kindle (23), Flare (25), Solstice (26), Radiance (27), Aurora (29), Ascension (32), Blaze (33), Renewal (34), Earthstone (42), Firmament (45), Draconis (50), Monolith (52), Primeval (57), Iris (58), Oracle (60), Seer (65), Prism (67), Insight (70), Penumbra (93), Nexus (94), Return (96)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9A84C" w:sz="6"/>
              <w:left w:val="single" w:color="C9A84C" w:sz="6"/>
              <w:bottom w:val="single" w:color="C9A84C" w:sz="6"/>
              <w:right w:val="single" w:color="C9A84C" w:sz="6"/>
            </w:tcBorders>
            <w:shd w:fill="FDF8EC" w:color="auto" w:val="clear"/>
            <w:tcMar>
              <w:top w:type="dxa" w:w="120"/>
              <w:left w:type="dxa" w:w="180"/>
              <w:bottom w:type="dxa" w:w="120"/>
              <w:right w:type="dxa" w:w="180"/>
            </w:tcMar>
          </w:tcPr>
          <w:p>
            <w:pPr>
              <w:spacing w:after="120" w:line="408" w:lineRule="auto"/>
            </w:pPr>
            <w:r>
              <w:t xml:space="preserve">DEMINU PATHS ⊖ — 28 Total (State = −1)</w:t>
            </w:r>
          </w:p>
          <w:p>
            <w:pPr>
              <w:spacing w:after="120" w:line="408" w:lineRule="auto"/>
            </w:pPr>
            <w:r>
              <w:t xml:space="preserve">Shadow, descent, transformative force.</w:t>
            </w:r>
          </w:p>
        </w:tc>
      </w:tr>
    </w:tbl>
    <w:p>
      <w:pPr>
        <w:spacing w:after="24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Bastion (7), Forge (9), Dominion (13), Sovereign (16), Vigilance (19), Pyre (21), Crucible (24), Tempering (31), Immolation (35), Wyrm (40), Tempest (41), Abyss (43), Torrent (48), Gale (51), Rift (53), Strata (56), Veil (62), Omen (68), Nocturne (69), Labyrinth (73), Enigma (75), Shadow (78), Requiem (81), Shroud (83), Revenant (84), Waning (87), Terminus (89), Crypt (90)</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9A84C" w:sz="6"/>
              <w:left w:val="single" w:color="C9A84C" w:sz="6"/>
              <w:bottom w:val="single" w:color="C9A84C" w:sz="6"/>
              <w:right w:val="single" w:color="C9A84C" w:sz="6"/>
            </w:tcBorders>
            <w:shd w:fill="FDF8EC" w:color="auto" w:val="clear"/>
            <w:tcMar>
              <w:top w:type="dxa" w:w="120"/>
              <w:left w:type="dxa" w:w="180"/>
              <w:bottom w:type="dxa" w:w="120"/>
              <w:right w:type="dxa" w:w="180"/>
            </w:tcMar>
          </w:tcPr>
          <w:p>
            <w:pPr>
              <w:spacing w:after="120" w:line="408" w:lineRule="auto"/>
            </w:pPr>
            <w:r>
              <w:t xml:space="preserve">NEUTRAL PATHS ○ — 28 Total (State = 0, Active)</w:t>
            </w:r>
          </w:p>
          <w:p>
            <w:pPr>
              <w:spacing w:after="120" w:line="408" w:lineRule="auto"/>
            </w:pPr>
            <w:r>
              <w:t xml:space="preserve">Balance, stillness, pivot points.</w:t>
            </w:r>
          </w:p>
        </w:tc>
      </w:tr>
    </w:tbl>
    <w:p>
      <w:pPr>
        <w:spacing w:after="24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Herald (3), Standard (6), Rampart (14), Garrison (17), Tribute (18), Cinder (22), Catalyst (30), Dawn (36), Phoenix Heart (38), Scale (39), Coil (44), Bedrock (47), Meridian (49), Tidecaller (54), Whisper (59), Cipher (61), Echo (64), Codex (66), Sigil (71), Luminary (74), Divination (76), Threshold (77), Crossing (79), Passage (82), Dusk (85), Ossuary (88), Eventide (92), Void (95)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9A84C" w:sz="6"/>
              <w:left w:val="single" w:color="C9A84C" w:sz="6"/>
              <w:bottom w:val="single" w:color="C9A84C" w:sz="6"/>
              <w:right w:val="single" w:color="C9A84C" w:sz="6"/>
            </w:tcBorders>
            <w:shd w:fill="FDF8EC" w:color="auto" w:val="clear"/>
            <w:tcMar>
              <w:top w:type="dxa" w:w="120"/>
              <w:left w:type="dxa" w:w="180"/>
              <w:bottom w:type="dxa" w:w="120"/>
              <w:right w:type="dxa" w:w="180"/>
            </w:tcMar>
          </w:tcPr>
          <w:p>
            <w:pPr>
              <w:spacing w:after="120" w:line="408" w:lineRule="auto"/>
            </w:pPr>
            <w:r>
              <w:t xml:space="preserve">DORMANT PATHS ◇ — 10 Total (State = 0, Latent)</w:t>
            </w:r>
          </w:p>
          <w:p>
            <w:pPr>
              <w:spacing w:after="120" w:line="408" w:lineRule="auto"/>
            </w:pPr>
            <w:r>
              <w:t xml:space="preserve">Unrealized potential, awaiting activation.</w:t>
            </w:r>
          </w:p>
        </w:tc>
      </w:tr>
    </w:tbl>
    <w:p>
      <w:pPr>
        <w:spacing w:after="24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Sentinel (10), Ignition (28), Transfiguration (37), Leviathan (46), Obsidian (55), Augur (63), Arcanum (72), Vestige (80), Specter (86), Hollow (91)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6914" w:sz="6"/>
              <w:left w:val="single" w:color="8B6914" w:sz="6"/>
              <w:bottom w:val="single" w:color="8B6914" w:sz="6"/>
              <w:right w:val="single" w:color="8B6914" w:sz="6"/>
            </w:tcBorders>
            <w:shd w:fill="FDF8EC" w:color="auto" w:val="clear"/>
            <w:tcMar>
              <w:top w:type="dxa" w:w="180"/>
              <w:left w:type="dxa" w:w="180"/>
              <w:bottom w:type="dxa" w:w="180"/>
              <w:right w:type="dxa" w:w="180"/>
            </w:tcMar>
          </w:tcPr>
          <w:p>
            <w:pPr>
              <w:spacing w:after="120" w:line="408" w:lineRule="auto"/>
            </w:pPr>
            <w:r>
              <w:rPr>
                <w:b/>
                <w:bCs/>
                <w:i w:val="false"/>
                <w:iCs w:val="false"/>
                <w:color w:val="5C4410"/>
              </w:rPr>
              <w:t xml:space="preserve">Polarity Distribution Summary</w:t>
            </w:r>
          </w:p>
          <w:p>
            <w:pPr>
              <w:spacing w:after="120" w:line="408" w:lineRule="auto"/>
            </w:pPr>
            <w:r>
              <w:t xml:space="preserve">Polarity</w:t>
            </w:r>
          </w:p>
          <w:p>
            <w:pPr>
              <w:spacing w:after="120" w:line="408" w:lineRule="auto"/>
            </w:pPr>
            <w:r>
              <w:t xml:space="preserve">Symbol</w:t>
            </w:r>
          </w:p>
          <w:p>
            <w:pPr>
              <w:spacing w:after="120" w:line="408" w:lineRule="auto"/>
            </w:pPr>
            <w:r>
              <w:t xml:space="preserve">State Value</w:t>
            </w:r>
          </w:p>
          <w:p>
            <w:pPr>
              <w:spacing w:after="120" w:line="408" w:lineRule="auto"/>
            </w:pPr>
            <w:r>
              <w:t xml:space="preserve">Count</w:t>
            </w:r>
          </w:p>
          <w:p>
            <w:pPr>
              <w:spacing w:after="120" w:line="408" w:lineRule="auto"/>
            </w:pPr>
            <w:r>
              <w:t xml:space="preserve">Percentage</w:t>
            </w:r>
          </w:p>
          <w:p>
            <w:pPr>
              <w:spacing w:after="120" w:line="408" w:lineRule="auto"/>
            </w:pPr>
            <w:r>
              <w:t xml:space="preserve">Angelu</w:t>
            </w:r>
          </w:p>
          <w:p>
            <w:pPr>
              <w:spacing w:after="120" w:line="408" w:lineRule="auto"/>
            </w:pPr>
            <w:r>
              <w:t xml:space="preserve">⊕</w:t>
            </w:r>
          </w:p>
          <w:p>
            <w:pPr>
              <w:spacing w:after="120" w:line="408" w:lineRule="auto"/>
            </w:pPr>
            <w:r>
              <w:t xml:space="preserve">+1</w:t>
            </w:r>
          </w:p>
          <w:p>
            <w:pPr>
              <w:spacing w:after="120" w:line="408" w:lineRule="auto"/>
            </w:pPr>
            <w:r>
              <w:t xml:space="preserve">30</w:t>
            </w:r>
          </w:p>
          <w:p>
            <w:pPr>
              <w:spacing w:after="120" w:line="408" w:lineRule="auto"/>
            </w:pPr>
            <w:r>
              <w:t xml:space="preserve">31.25%</w:t>
            </w:r>
          </w:p>
          <w:p>
            <w:pPr>
              <w:spacing w:after="120" w:line="408" w:lineRule="auto"/>
            </w:pPr>
            <w:r>
              <w:t xml:space="preserve">Deminu</w:t>
            </w:r>
          </w:p>
          <w:p>
            <w:pPr>
              <w:spacing w:after="120" w:line="408" w:lineRule="auto"/>
            </w:pPr>
            <w:r>
              <w:t xml:space="preserve">⊖</w:t>
            </w:r>
          </w:p>
          <w:p>
            <w:pPr>
              <w:spacing w:after="120" w:line="408" w:lineRule="auto"/>
            </w:pPr>
            <w:r>
              <w:t xml:space="preserve">−1</w:t>
            </w:r>
          </w:p>
          <w:p>
            <w:pPr>
              <w:spacing w:after="120" w:line="408" w:lineRule="auto"/>
            </w:pPr>
            <w:r>
              <w:t xml:space="preserve">28</w:t>
            </w:r>
          </w:p>
          <w:p>
            <w:pPr>
              <w:spacing w:after="120" w:line="408" w:lineRule="auto"/>
            </w:pPr>
            <w:r>
              <w:t xml:space="preserve">29.17%</w:t>
            </w:r>
          </w:p>
          <w:p>
            <w:pPr>
              <w:spacing w:after="120" w:line="408" w:lineRule="auto"/>
            </w:pPr>
            <w:r>
              <w:t xml:space="preserve">Neutral</w:t>
            </w:r>
          </w:p>
          <w:p>
            <w:pPr>
              <w:spacing w:after="120" w:line="408" w:lineRule="auto"/>
            </w:pPr>
            <w:r>
              <w:t xml:space="preserve">○</w:t>
            </w:r>
          </w:p>
          <w:p>
            <w:pPr>
              <w:spacing w:after="120" w:line="408" w:lineRule="auto"/>
            </w:pPr>
            <w:r>
              <w:t xml:space="preserve">0 (Active)</w:t>
            </w:r>
          </w:p>
          <w:p>
            <w:pPr>
              <w:spacing w:after="120" w:line="408" w:lineRule="auto"/>
            </w:pPr>
            <w:r>
              <w:t xml:space="preserve">28</w:t>
            </w:r>
          </w:p>
          <w:p>
            <w:pPr>
              <w:spacing w:after="120" w:line="408" w:lineRule="auto"/>
            </w:pPr>
            <w:r>
              <w:t xml:space="preserve">29.17%</w:t>
            </w:r>
          </w:p>
          <w:p>
            <w:pPr>
              <w:spacing w:after="120" w:line="408" w:lineRule="auto"/>
            </w:pPr>
            <w:r>
              <w:t xml:space="preserve">Dormant</w:t>
            </w:r>
          </w:p>
          <w:p>
            <w:pPr>
              <w:spacing w:after="120" w:line="408" w:lineRule="auto"/>
            </w:pPr>
            <w:r>
              <w:t xml:space="preserve">◇</w:t>
            </w:r>
          </w:p>
          <w:p>
            <w:pPr>
              <w:spacing w:after="120" w:line="408" w:lineRule="auto"/>
            </w:pPr>
            <w:r>
              <w:t xml:space="preserve">0 (Latent)</w:t>
            </w:r>
          </w:p>
          <w:p>
            <w:pPr>
              <w:spacing w:after="120" w:line="408" w:lineRule="auto"/>
            </w:pPr>
            <w:r>
              <w:t xml:space="preserve">10</w:t>
            </w:r>
          </w:p>
          <w:p>
            <w:pPr>
              <w:spacing w:after="120" w:line="408" w:lineRule="auto"/>
            </w:pPr>
            <w:r>
              <w:t xml:space="preserve">10.42%</w:t>
            </w:r>
          </w:p>
          <w:p>
            <w:pPr>
              <w:spacing w:after="120" w:line="408" w:lineRule="auto"/>
            </w:pPr>
            <w:r>
              <w:t xml:space="preserve">Total</w:t>
            </w:r>
          </w:p>
          <w:p>
            <w:pPr>
              <w:spacing w:after="120" w:line="408" w:lineRule="auto"/>
            </w:pPr>
            <w:r>
              <w:t xml:space="preserve">96</w:t>
            </w:r>
          </w:p>
          <w:p>
            <w:pPr>
              <w:spacing w:after="120" w:line="408" w:lineRule="auto"/>
            </w:pPr>
            <w:r>
              <w:t xml:space="preserve">100%</w:t>
            </w:r>
          </w:p>
        </w:tc>
      </w:tr>
    </w:tbl>
    <w:p>
      <w:pPr>
        <w:spacing w:after="240" w:before="0"/>
      </w:pPr>
    </w:p>
    <w:p>
      <w:pPr>
        <w:pBdr>
          <w:bottom w:val="single" w:color="C9A84C" w:sz="6"/>
        </w:pBdr>
        <w:spacing w:after="240" w:before="240"/>
      </w:pPr>
    </w:p>
    <w:p>
      <w:pPr>
        <w:pStyle w:val="Heading1"/>
        <w:spacing w:after="120" w:before="480" w:line="312" w:lineRule="auto"/>
      </w:pPr>
      <w:r>
        <w:rPr>
          <w:rFonts w:ascii="Cambria" w:cs="Cambria" w:eastAsia="Cambria" w:hAnsi="Cambria"/>
          <w:color w:val="7A5C1F"/>
          <w:sz w:val="48"/>
          <w:szCs w:val="48"/>
        </w:rPr>
        <w:t xml:space="preserve">VI. Cross-Reference Quick Keys</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The following reference blocks enable rapid lookup by hexagram, triad, or angular position. These keys provide the practitioner with immediate structural context for any path in the lattice.</w:t>
      </w:r>
    </w:p>
    <w:p>
      <w:pPr>
        <w:pStyle w:val="Heading2"/>
        <w:spacing w:after="120" w:before="360" w:line="312" w:lineRule="auto"/>
      </w:pPr>
      <w:r>
        <w:rPr>
          <w:rFonts w:ascii="Cambria" w:cs="Cambria" w:eastAsia="Cambria" w:hAnsi="Cambria"/>
          <w:color w:val="7A5C1F"/>
          <w:sz w:val="36"/>
          <w:szCs w:val="36"/>
        </w:rPr>
        <w:t xml:space="preserve">By Hexagram (H-I through H-XVI)</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Each hexagram contains six consecutive paths, forming the primary macro-structure of the lattice.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Hexagram</w:t>
            </w:r>
          </w:p>
        </w:tc>
        <w:tc>
          <w:tcPr>
            <w:tcW w:type="pct" w:w="68%"/>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Paths</w:t>
            </w:r>
          </w:p>
        </w:tc>
        <w:tc>
          <w:tcPr>
            <w:tcW w:type="pct" w:w="19%"/>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Arc</w:t>
            </w:r>
          </w:p>
        </w:tc>
      </w:tr>
      <w:tr>
        <w:trPr>
          <w:tblHeader w:val="false"/>
        </w:trPr>
        <w:tc>
          <w:tcPr>
            <w:tcW w:type="pct" w:w="13%"/>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H-I</w:t>
            </w:r>
          </w:p>
        </w:tc>
        <w:tc>
          <w:tcPr>
            <w:tcW w:type="pct" w:w="6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1–6  (Crown, Throne, Herald, Aegis, Vanguard, Standard)</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0°–18.75°</w:t>
            </w:r>
          </w:p>
        </w:tc>
      </w:tr>
      <w:tr>
        <w:trPr>
          <w:tblHeader w:val="false"/>
        </w:trPr>
        <w:tc>
          <w:tcPr>
            <w:tcW w:type="pct" w:w="13%"/>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H-II</w:t>
            </w:r>
          </w:p>
        </w:tc>
        <w:tc>
          <w:tcPr>
            <w:tcW w:type="pct" w:w="6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7–12  (Bastion, Mandate, Forge, Sentinel, Warden, Valor)</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22.5°–41.25°</w:t>
            </w:r>
          </w:p>
        </w:tc>
      </w:tr>
      <w:tr>
        <w:trPr>
          <w:tblHeader w:val="false"/>
        </w:trPr>
        <w:tc>
          <w:tcPr>
            <w:tcW w:type="pct" w:w="13%"/>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H-III</w:t>
            </w:r>
          </w:p>
        </w:tc>
        <w:tc>
          <w:tcPr>
            <w:tcW w:type="pct" w:w="6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13–18  (Dominion, Rampart, Apex, Sovereign, Garrison, Tribute)</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45°–63.75°</w:t>
            </w:r>
          </w:p>
        </w:tc>
      </w:tr>
      <w:tr>
        <w:trPr>
          <w:tblHeader w:val="false"/>
        </w:trPr>
        <w:tc>
          <w:tcPr>
            <w:tcW w:type="pct" w:w="13%"/>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H-IV</w:t>
            </w:r>
          </w:p>
        </w:tc>
        <w:tc>
          <w:tcPr>
            <w:tcW w:type="pct" w:w="6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19–24  (Vigilance, Ember, Pyre, Cinder, Kindle, Crucible)</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67.5°–86.25°</w:t>
            </w:r>
          </w:p>
        </w:tc>
      </w:tr>
      <w:tr>
        <w:trPr>
          <w:tblHeader w:val="false"/>
        </w:trPr>
        <w:tc>
          <w:tcPr>
            <w:tcW w:type="pct" w:w="13%"/>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H-V</w:t>
            </w:r>
          </w:p>
        </w:tc>
        <w:tc>
          <w:tcPr>
            <w:tcW w:type="pct" w:w="6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25–30  (Flare, Solstice, Radiance, Ignition, Aurora, Catalyst)</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90°–108.75°</w:t>
            </w:r>
          </w:p>
        </w:tc>
      </w:tr>
      <w:tr>
        <w:trPr>
          <w:tblHeader w:val="false"/>
        </w:trPr>
        <w:tc>
          <w:tcPr>
            <w:tcW w:type="pct" w:w="13%"/>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H-VI</w:t>
            </w:r>
          </w:p>
        </w:tc>
        <w:tc>
          <w:tcPr>
            <w:tcW w:type="pct" w:w="6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31–36  (Tempering, Ascension, Blaze, Renewal, Immolation, Dawn)</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112.5°–131.25°</w:t>
            </w:r>
          </w:p>
        </w:tc>
      </w:tr>
      <w:tr>
        <w:trPr>
          <w:tblHeader w:val="false"/>
        </w:trPr>
        <w:tc>
          <w:tcPr>
            <w:tcW w:type="pct" w:w="13%"/>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H-VII</w:t>
            </w:r>
          </w:p>
        </w:tc>
        <w:tc>
          <w:tcPr>
            <w:tcW w:type="pct" w:w="6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37–42  (Transfiguration, Phoenix Heart, Scale, Wyrm, Tempest, Earthstone)</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135°–153.75°</w:t>
            </w:r>
          </w:p>
        </w:tc>
      </w:tr>
      <w:tr>
        <w:trPr>
          <w:tblHeader w:val="false"/>
        </w:trPr>
        <w:tc>
          <w:tcPr>
            <w:tcW w:type="pct" w:w="13%"/>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H-VIII</w:t>
            </w:r>
          </w:p>
        </w:tc>
        <w:tc>
          <w:tcPr>
            <w:tcW w:type="pct" w:w="6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43–48  (Abyss, Coil, Firmament, Leviathan, Bedrock, Torrent)</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157.5°–176.25°</w:t>
            </w:r>
          </w:p>
        </w:tc>
      </w:tr>
      <w:tr>
        <w:trPr>
          <w:tblHeader w:val="false"/>
        </w:trPr>
        <w:tc>
          <w:tcPr>
            <w:tcW w:type="pct" w:w="13%"/>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H-IX</w:t>
            </w:r>
          </w:p>
        </w:tc>
        <w:tc>
          <w:tcPr>
            <w:tcW w:type="pct" w:w="6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49–54  (Meridian, Draconis, Gale, Monolith, Rift, Tidecaller)</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180°–198.75°</w:t>
            </w:r>
          </w:p>
        </w:tc>
      </w:tr>
      <w:tr>
        <w:trPr>
          <w:tblHeader w:val="false"/>
        </w:trPr>
        <w:tc>
          <w:tcPr>
            <w:tcW w:type="pct" w:w="13%"/>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H-X</w:t>
            </w:r>
          </w:p>
        </w:tc>
        <w:tc>
          <w:tcPr>
            <w:tcW w:type="pct" w:w="6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55–60  (Obsidian, Strata, Primeval, Iris, Whisper, Oracle)</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202.5°–221.25°</w:t>
            </w:r>
          </w:p>
        </w:tc>
      </w:tr>
      <w:tr>
        <w:trPr>
          <w:tblHeader w:val="false"/>
        </w:trPr>
        <w:tc>
          <w:tcPr>
            <w:tcW w:type="pct" w:w="13%"/>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H-XI</w:t>
            </w:r>
          </w:p>
        </w:tc>
        <w:tc>
          <w:tcPr>
            <w:tcW w:type="pct" w:w="6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61–66  (Cipher, Veil, Augur, Echo, Seer, Codex)</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225°–243.75°</w:t>
            </w:r>
          </w:p>
        </w:tc>
      </w:tr>
      <w:tr>
        <w:trPr>
          <w:tblHeader w:val="false"/>
        </w:trPr>
        <w:tc>
          <w:tcPr>
            <w:tcW w:type="pct" w:w="13%"/>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H-XII</w:t>
            </w:r>
          </w:p>
        </w:tc>
        <w:tc>
          <w:tcPr>
            <w:tcW w:type="pct" w:w="6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67–72  (Prism, Omen, Nocturne, Insight, Sigil, Arcanum)</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247.5°–266.25°</w:t>
            </w:r>
          </w:p>
        </w:tc>
      </w:tr>
      <w:tr>
        <w:trPr>
          <w:tblHeader w:val="false"/>
        </w:trPr>
        <w:tc>
          <w:tcPr>
            <w:tcW w:type="pct" w:w="13%"/>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H-XIII</w:t>
            </w:r>
          </w:p>
        </w:tc>
        <w:tc>
          <w:tcPr>
            <w:tcW w:type="pct" w:w="6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73–78  (Labyrinth, Luminary, Enigma, Divination, Threshold, Shadow)</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270°–288.75°</w:t>
            </w:r>
          </w:p>
        </w:tc>
      </w:tr>
      <w:tr>
        <w:trPr>
          <w:tblHeader w:val="false"/>
        </w:trPr>
        <w:tc>
          <w:tcPr>
            <w:tcW w:type="pct" w:w="13%"/>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H-XIV</w:t>
            </w:r>
          </w:p>
        </w:tc>
        <w:tc>
          <w:tcPr>
            <w:tcW w:type="pct" w:w="6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79–84  (Crossing, Vestige, Requiem, Passage, Shroud, Revenant)</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292.5°–311.25°</w:t>
            </w:r>
          </w:p>
        </w:tc>
      </w:tr>
      <w:tr>
        <w:trPr>
          <w:tblHeader w:val="false"/>
        </w:trPr>
        <w:tc>
          <w:tcPr>
            <w:tcW w:type="pct" w:w="13%"/>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H-XV</w:t>
            </w:r>
          </w:p>
        </w:tc>
        <w:tc>
          <w:tcPr>
            <w:tcW w:type="pct" w:w="6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85–90  (Dusk, Specter, Waning, Ossuary, Terminus, Crypt)</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315°–333.75°</w:t>
            </w:r>
          </w:p>
        </w:tc>
      </w:tr>
      <w:tr>
        <w:trPr>
          <w:tblHeader w:val="false"/>
        </w:trPr>
        <w:tc>
          <w:tcPr>
            <w:tcW w:type="pct" w:w="13%"/>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H-XVI</w:t>
            </w:r>
          </w:p>
        </w:tc>
        <w:tc>
          <w:tcPr>
            <w:tcW w:type="pct" w:w="68%"/>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91–96  (Hollow, Eventide, Penumbra, Nexus, Void, Return)</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337.5°–356.25°</w:t>
            </w:r>
          </w:p>
        </w:tc>
      </w:tr>
    </w:tbl>
    <w:p>
      <w:pPr>
        <w:spacing w:after="200" w:before="0"/>
      </w:pPr>
    </w:p>
    <w:p>
      <w:pPr>
        <w:pStyle w:val="Heading2"/>
        <w:spacing w:after="120" w:before="360" w:line="312" w:lineRule="auto"/>
      </w:pPr>
      <w:r>
        <w:rPr>
          <w:rFonts w:ascii="Cambria" w:cs="Cambria" w:eastAsia="Cambria" w:hAnsi="Cambria"/>
          <w:color w:val="7A5C1F"/>
          <w:sz w:val="36"/>
          <w:szCs w:val="36"/>
        </w:rPr>
        <w:t xml:space="preserve">By Triad (T1 through T32)</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Each triad groups three consecutive paths, forming the micro-structure of the lattice. Thirty-two triads compose the full circle.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0%"/>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Triad</w:t>
            </w:r>
          </w:p>
        </w:tc>
        <w:tc>
          <w:tcPr>
            <w:tcW w:type="pct" w:w="14%"/>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Paths</w:t>
            </w:r>
          </w:p>
        </w:tc>
        <w:tc>
          <w:tcPr>
            <w:tcW w:type="pct" w:w="11%"/>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Triad</w:t>
            </w:r>
          </w:p>
        </w:tc>
        <w:tc>
          <w:tcPr>
            <w:tcW w:type="pct" w:w="14%"/>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Paths</w:t>
            </w:r>
          </w:p>
        </w:tc>
        <w:tc>
          <w:tcPr>
            <w:tcW w:type="pct" w:w="11%"/>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Triad</w:t>
            </w:r>
          </w:p>
        </w:tc>
        <w:tc>
          <w:tcPr>
            <w:tcW w:type="pct" w:w="14%"/>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Paths</w:t>
            </w:r>
          </w:p>
        </w:tc>
        <w:tc>
          <w:tcPr>
            <w:tcW w:type="pct" w:w="11%"/>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Triad</w:t>
            </w:r>
          </w:p>
        </w:tc>
        <w:tc>
          <w:tcPr>
            <w:tcW w:type="pct" w:w="15%"/>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Paths</w:t>
            </w:r>
          </w:p>
        </w:tc>
      </w:tr>
      <w:tr>
        <w:trPr>
          <w:tblHeader w:val="false"/>
        </w:trPr>
        <w:tc>
          <w:tcPr>
            <w:tcW w:type="pct" w:w="10%"/>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1–3</w:t>
            </w:r>
          </w:p>
        </w:tc>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T9</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25–27</w:t>
            </w:r>
          </w:p>
        </w:tc>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T17</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49–51</w:t>
            </w:r>
          </w:p>
        </w:tc>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T25</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73–75</w:t>
            </w:r>
          </w:p>
        </w:tc>
      </w:tr>
      <w:tr>
        <w:trPr>
          <w:tblHeader w:val="false"/>
        </w:trPr>
        <w:tc>
          <w:tcPr>
            <w:tcW w:type="pct" w:w="10%"/>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T2</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4–6</w:t>
            </w:r>
          </w:p>
        </w:tc>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T10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28–30</w:t>
            </w:r>
          </w:p>
        </w:tc>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T18</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52–54</w:t>
            </w:r>
          </w:p>
        </w:tc>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T26</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76–78</w:t>
            </w:r>
          </w:p>
        </w:tc>
      </w:tr>
      <w:tr>
        <w:trPr>
          <w:tblHeader w:val="false"/>
        </w:trPr>
        <w:tc>
          <w:tcPr>
            <w:tcW w:type="pct" w:w="10%"/>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T3</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7–9</w:t>
            </w:r>
          </w:p>
        </w:tc>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T11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31–33</w:t>
            </w:r>
          </w:p>
        </w:tc>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T19</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55–57</w:t>
            </w:r>
          </w:p>
        </w:tc>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T27</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79–81</w:t>
            </w:r>
          </w:p>
        </w:tc>
      </w:tr>
      <w:tr>
        <w:trPr>
          <w:tblHeader w:val="false"/>
        </w:trPr>
        <w:tc>
          <w:tcPr>
            <w:tcW w:type="pct" w:w="10%"/>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T4</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10–12</w:t>
            </w:r>
          </w:p>
        </w:tc>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T12</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34–36</w:t>
            </w:r>
          </w:p>
        </w:tc>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T20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58–60</w:t>
            </w:r>
          </w:p>
        </w:tc>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T28</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82–84</w:t>
            </w:r>
          </w:p>
        </w:tc>
      </w:tr>
      <w:tr>
        <w:trPr>
          <w:tblHeader w:val="false"/>
        </w:trPr>
        <w:tc>
          <w:tcPr>
            <w:tcW w:type="pct" w:w="10%"/>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T5</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13–15</w:t>
            </w:r>
          </w:p>
        </w:tc>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T13</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37–39</w:t>
            </w:r>
          </w:p>
        </w:tc>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T21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61–63</w:t>
            </w:r>
          </w:p>
        </w:tc>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T29</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85–87</w:t>
            </w:r>
          </w:p>
        </w:tc>
      </w:tr>
      <w:tr>
        <w:trPr>
          <w:tblHeader w:val="false"/>
        </w:trPr>
        <w:tc>
          <w:tcPr>
            <w:tcW w:type="pct" w:w="10%"/>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T6</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16–18</w:t>
            </w:r>
          </w:p>
        </w:tc>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T14</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40–42</w:t>
            </w:r>
          </w:p>
        </w:tc>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T22</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64–66</w:t>
            </w:r>
          </w:p>
        </w:tc>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T30</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88–90</w:t>
            </w:r>
          </w:p>
        </w:tc>
      </w:tr>
      <w:tr>
        <w:trPr>
          <w:tblHeader w:val="false"/>
        </w:trPr>
        <w:tc>
          <w:tcPr>
            <w:tcW w:type="pct" w:w="10%"/>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T7</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19–21</w:t>
            </w:r>
          </w:p>
        </w:tc>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T15</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43–45</w:t>
            </w:r>
          </w:p>
        </w:tc>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T23</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67–69</w:t>
            </w:r>
          </w:p>
        </w:tc>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T31</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91–93</w:t>
            </w:r>
          </w:p>
        </w:tc>
      </w:tr>
      <w:tr>
        <w:trPr>
          <w:tblHeader w:val="false"/>
        </w:trPr>
        <w:tc>
          <w:tcPr>
            <w:tcW w:type="pct" w:w="10%"/>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T8</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22–24</w:t>
            </w:r>
          </w:p>
        </w:tc>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T16</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46–48</w:t>
            </w:r>
          </w:p>
        </w:tc>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T24</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70–72</w:t>
            </w:r>
          </w:p>
        </w:tc>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T32</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94–96</w:t>
            </w:r>
          </w:p>
        </w:tc>
      </w:tr>
    </w:tbl>
    <w:p>
      <w:pPr>
        <w:spacing w:after="200" w:before="0"/>
      </w:pPr>
    </w:p>
    <w:p>
      <w:pPr>
        <w:pStyle w:val="Heading2"/>
        <w:spacing w:after="120" w:before="360" w:line="312" w:lineRule="auto"/>
      </w:pPr>
      <w:r>
        <w:rPr>
          <w:rFonts w:ascii="Cambria" w:cs="Cambria" w:eastAsia="Cambria" w:hAnsi="Cambria"/>
          <w:color w:val="7A5C1F"/>
          <w:sz w:val="36"/>
          <w:szCs w:val="36"/>
        </w:rPr>
        <w:t xml:space="preserve">By Cardinal and Diagonal Angles</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The eight primary angular positions of the lattice — four cardinal and four diagonal — mark the structural pillars of the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6%"/>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Type</w:t>
            </w:r>
          </w:p>
        </w:tc>
        <w:tc>
          <w:tcPr>
            <w:tcW w:type="pct" w:w="12%"/>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Angle</w:t>
            </w:r>
          </w:p>
        </w:tc>
        <w:tc>
          <w:tcPr>
            <w:tcW w:type="pct" w:w="42%"/>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Path</w:t>
            </w:r>
          </w:p>
        </w:tc>
        <w:tc>
          <w:tcPr>
            <w:tcW w:type="pct" w:w="15%"/>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Guardian</w:t>
            </w:r>
          </w:p>
        </w:tc>
        <w:tc>
          <w:tcPr>
            <w:tcW w:type="pct" w:w="15%"/>
            <w:shd w:fill="F5ECD5" w:color="auto" w:val="clear"/>
            <w:tcMar>
              <w:top w:type="dxa" w:w="60"/>
              <w:left w:type="dxa" w:w="90"/>
              <w:bottom w:type="dxa" w:w="60"/>
              <w:right w:type="dxa" w:w="90"/>
            </w:tcMar>
          </w:tcPr>
          <w:p>
            <w:r>
              <w:rPr>
                <w:rFonts w:ascii="Cambria" w:cs="Cambria" w:eastAsia="Cambria" w:hAnsi="Cambria"/>
                <w:b/>
                <w:bCs/>
                <w:i w:val="false"/>
                <w:iCs w:val="false"/>
                <w:strike w:val="false"/>
                <w:color w:val="3D2E0A"/>
                <w:sz w:val="18"/>
                <w:szCs w:val="18"/>
              </w:rPr>
              <w:t xml:space="preserve">Status</w:t>
            </w:r>
          </w:p>
        </w:tc>
      </w:tr>
      <w:tr>
        <w:trPr>
          <w:tblHeader w:val="false"/>
        </w:trPr>
        <w:tc>
          <w:tcPr>
            <w:tcW w:type="pct" w:w="16%"/>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Cardinal</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0°</w:t>
            </w:r>
          </w:p>
        </w:tc>
        <w:tc>
          <w:tcPr>
            <w:tcW w:type="pct" w:w="4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Crown (#1)</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16%"/>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Cardinal</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90°</w:t>
            </w:r>
          </w:p>
        </w:tc>
        <w:tc>
          <w:tcPr>
            <w:tcW w:type="pct" w:w="4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Flare (#25)</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16%"/>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Cardinal</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180°</w:t>
            </w:r>
          </w:p>
        </w:tc>
        <w:tc>
          <w:tcPr>
            <w:tcW w:type="pct" w:w="4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Meridian (#49)</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Dragon</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16%"/>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Cardinal</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270°</w:t>
            </w:r>
          </w:p>
        </w:tc>
        <w:tc>
          <w:tcPr>
            <w:tcW w:type="pct" w:w="4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Labyrinth (#73)</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16%"/>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Diagonal</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45°</w:t>
            </w:r>
          </w:p>
        </w:tc>
        <w:tc>
          <w:tcPr>
            <w:tcW w:type="pct" w:w="4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Dominion (#13)</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Lion</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16%"/>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Diagonal</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135°</w:t>
            </w:r>
          </w:p>
        </w:tc>
        <w:tc>
          <w:tcPr>
            <w:tcW w:type="pct" w:w="4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Transfiguration (#37)</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Phoenix</w:t>
            </w:r>
          </w:p>
        </w:tc>
        <w:tc>
          <w:tcPr>
            <w:tcW w:type="pct" w:w="15%"/>
            <w:tcMar>
              <w:top w:type="dxa" w:w="60"/>
              <w:left w:type="dxa" w:w="90"/>
              <w:bottom w:type="dxa" w:w="60"/>
              <w:right w:type="dxa" w:w="90"/>
            </w:tcMar>
          </w:tcPr>
          <w:p>
            <w:r>
              <w:rPr>
                <w:rFonts w:ascii="Cambria" w:cs="Cambria" w:eastAsia="Cambria" w:hAnsi="Cambria"/>
                <w:b w:val="false"/>
                <w:bCs w:val="false"/>
                <w:i/>
                <w:iCs/>
                <w:strike w:val="false"/>
                <w:color w:val="888888"/>
                <w:sz w:val="18"/>
                <w:szCs w:val="18"/>
              </w:rPr>
              <w:t xml:space="preserve">Dormant</w:t>
            </w:r>
          </w:p>
        </w:tc>
      </w:tr>
      <w:tr>
        <w:trPr>
          <w:tblHeader w:val="false"/>
        </w:trPr>
        <w:tc>
          <w:tcPr>
            <w:tcW w:type="pct" w:w="16%"/>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Diagonal</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225°</w:t>
            </w:r>
          </w:p>
        </w:tc>
        <w:tc>
          <w:tcPr>
            <w:tcW w:type="pct" w:w="4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Cipher (#61)</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Owl</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r>
        <w:trPr>
          <w:tblHeader w:val="false"/>
        </w:trPr>
        <w:tc>
          <w:tcPr>
            <w:tcW w:type="pct" w:w="16%"/>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Diagonal</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315°</w:t>
            </w:r>
          </w:p>
        </w:tc>
        <w:tc>
          <w:tcPr>
            <w:tcW w:type="pct" w:w="42%"/>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Path of the Dusk (#85)</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Raven</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18"/>
                <w:szCs w:val="18"/>
              </w:rPr>
              <w:t xml:space="preserve">Active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6914" w:sz="6"/>
              <w:left w:val="single" w:color="8B6914" w:sz="6"/>
              <w:bottom w:val="single" w:color="8B6914" w:sz="6"/>
              <w:right w:val="single" w:color="8B6914" w:sz="6"/>
            </w:tcBorders>
            <w:shd w:fill="FDF8EC" w:color="auto" w:val="clear"/>
            <w:tcMar>
              <w:top w:type="dxa" w:w="180"/>
              <w:left w:type="dxa" w:w="180"/>
              <w:bottom w:type="dxa" w:w="180"/>
              <w:right w:type="dxa" w:w="180"/>
            </w:tcMar>
          </w:tcPr>
          <w:p>
            <w:pPr>
              <w:spacing w:after="120" w:line="408" w:lineRule="auto"/>
            </w:pPr>
            <w:r>
              <w:rPr>
                <w:b/>
                <w:bCs/>
                <w:i w:val="false"/>
                <w:iCs w:val="false"/>
                <w:color w:val="5C4410"/>
              </w:rPr>
              <w:t xml:space="preserve">Structural Note</w:t>
            </w:r>
          </w:p>
          <w:p>
            <w:pPr>
              <w:spacing w:after="0" w:line="360" w:lineRule="auto"/>
            </w:pPr>
            <w:r>
              <w:rPr>
                <w:rFonts w:ascii="Cambria" w:cs="Cambria" w:eastAsia="Cambria" w:hAnsi="Cambria"/>
                <w:b w:val="false"/>
                <w:bCs w:val="false"/>
                <w:i w:val="false"/>
                <w:iCs w:val="false"/>
                <w:strike w:val="false"/>
                <w:color w:val="000000"/>
                <w:sz w:val="22"/>
                <w:szCs w:val="22"/>
              </w:rPr>
              <w:t xml:space="preserve">Of the eight primary angular positions, seven are Active and one — the Transfiguration at 135° — is Dormant. This asymmetry in the diagonal axis is a defining feature of the lattice's unrealized potential, marking the Phoenix-Dragon boundary as the system's primary locus of latent transformation.</w:t>
            </w:r>
          </w:p>
        </w:tc>
      </w:tr>
    </w:tbl>
    <w:p>
      <w:pPr>
        <w:spacing w:after="240" w:before="0"/>
      </w:pPr>
    </w:p>
    <w:p>
      <w:pPr>
        <w:pBdr>
          <w:bottom w:val="single" w:color="C9A84C" w:sz="6"/>
        </w:pBdr>
        <w:spacing w:after="240" w:before="240"/>
      </w:pPr>
    </w:p>
    <w:p>
      <w:pPr>
        <w:pBdr>
          <w:bottom w:val="single" w:color="7A5C1F" w:sz="6"/>
        </w:pBdr>
        <w:spacing w:after="240" w:before="240"/>
      </w:pPr>
    </w:p>
    <w:p>
      <w:pPr>
        <w:spacing w:after="120" w:before="60" w:line="360" w:lineRule="auto"/>
        <w:jc w:val="center"/>
      </w:pPr>
      <w:r>
        <w:rPr>
          <w:rFonts w:ascii="Cambria" w:cs="Cambria" w:eastAsia="Cambria" w:hAnsi="Cambria"/>
          <w:b w:val="false"/>
          <w:bCs w:val="false"/>
          <w:i w:val="false"/>
          <w:iCs w:val="false"/>
          <w:strike w:val="false"/>
          <w:color w:val="000000"/>
          <w:sz w:val="22"/>
          <w:szCs w:val="22"/>
        </w:rPr>
        <w:t xml:space="preserve">This index completes the reference architecture of the Codex. Every path is now locatable by number, name, angle, Guardian, polarity, or lattice position. The practitioner who masters this index holds the full map of the 96-Path system — from the Crown's opening light at zero degrees to the Return's closing ascent at 356.25°, and every station between.</w:t>
      </w:r>
    </w:p>
    <w:p>
      <w:pPr>
        <w:spacing w:after="120" w:before="60" w:line="360" w:lineRule="auto"/>
        <w:jc w:val="center"/>
      </w:pPr>
      <w:r>
        <w:rPr>
          <w:rFonts w:ascii="Cambria" w:cs="Cambria" w:eastAsia="Cambria" w:hAnsi="Cambria"/>
          <w:b w:val="false"/>
          <w:bCs w:val="false"/>
          <w:i w:val="false"/>
          <w:iCs w:val="false"/>
          <w:strike w:val="false"/>
          <w:color w:val="8B6914"/>
          <w:sz w:val="22"/>
          <w:szCs w:val="22"/>
        </w:rPr>
        <w:t xml:space="preserve">— </w:t>
      </w:r>
      <w:r>
        <w:rPr>
          <w:rFonts w:ascii="Cambria" w:cs="Cambria" w:eastAsia="Cambria" w:hAnsi="Cambria"/>
          <w:b w:val="false"/>
          <w:bCs w:val="false"/>
          <w:i/>
          <w:iCs/>
          <w:strike w:val="false"/>
          <w:color w:val="000000"/>
          <w:sz w:val="22"/>
          <w:szCs w:val="22"/>
        </w:rPr>
        <w:t xml:space="preserve">End of the Full 96-Path Index</w:t>
      </w:r>
      <w:r>
        <w:rPr>
          <w:rFonts w:ascii="Cambria" w:cs="Cambria" w:eastAsia="Cambria" w:hAnsi="Cambria"/>
          <w:b w:val="false"/>
          <w:bCs w:val="false"/>
          <w:i w:val="false"/>
          <w:iCs w:val="false"/>
          <w:strike w:val="false"/>
          <w:color w:val="8B6914"/>
          <w:sz w:val="22"/>
          <w:szCs w:val="22"/>
        </w:rPr>
        <w:t xml:space="preserve"> —</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hdQf41nbGUqaDZJwGXSmT</dc:title>
  <dc:creator>Un-named</dc:creator>
  <dc:description>Generated document</dc:description>
  <cp:lastModifiedBy>Un-named</cp:lastModifiedBy>
  <cp:revision>1</cp:revision>
  <dcterms:created xsi:type="dcterms:W3CDTF">2026-04-18T23:06:15.479Z</dcterms:created>
  <dcterms:modified xsi:type="dcterms:W3CDTF">2026-04-18T23:06:15.479Z</dcterms:modified>
</cp:coreProperties>
</file>

<file path=docProps/custom.xml><?xml version="1.0" encoding="utf-8"?>
<Properties xmlns="http://schemas.openxmlformats.org/officeDocument/2006/custom-properties" xmlns:vt="http://schemas.openxmlformats.org/officeDocument/2006/docPropsVTypes"/>
</file>