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bidi/>
        <w:jc w:val="right"/>
      </w:pPr>
      <w:r>
        <w:rPr>
          <w:rFonts w:ascii="Arad" w:hAnsi="Arad" w:cs="Arad" w:eastAsia="Arad"/>
          <w:b/>
          <w:color w:val="1C1C1C"/>
          <w:sz w:val="60"/>
        </w:rPr>
        <w:t>راهنمای تداخلات دارویی</w:t>
      </w:r>
    </w:p>
    <w:p>
      <w:pPr>
        <w:bidi/>
        <w:jc w:val="right"/>
      </w:pPr>
      <w:r>
        <w:rPr>
          <w:rFonts w:ascii="Arad" w:hAnsi="Arad" w:cs="Arad" w:eastAsia="Arad"/>
          <w:b w:val="0"/>
          <w:color w:val="555555"/>
          <w:sz w:val="26"/>
        </w:rPr>
        <w:t>ویژه پزشکان، پرستاران و داروسازان بیمارستان  |  دارو–دارو، دارو–غذا، دارو–آزمایش، تداخلات تزریقی، گیاهان و مکمل‌ها</w:t>
      </w:r>
    </w:p>
    <w:p>
      <w:pPr>
        <w:bidi/>
        <w:jc w:val="right"/>
      </w:pPr>
      <w:r>
        <w:rPr>
          <w:rFonts w:ascii="Arad" w:hAnsi="Arad" w:cs="Arad" w:eastAsia="Arad"/>
          <w:b w:val="0"/>
          <w:color w:val="555555"/>
          <w:sz w:val="20"/>
        </w:rPr>
        <w:t>تدوین: دکتر داروساز — واحد دارویی  |  ویرایش: شهریور ۱۴۰۵  |  منابع: PubMed، UpToDate/Lexicomp، FDA، AAP، Trissel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کلیات</w:t>
      </w:r>
    </w:p>
    <w:p>
      <w:pPr>
        <w:bidi/>
        <w:spacing w:after="200"/>
        <w:jc w:val="right"/>
      </w:pPr>
      <w:r>
        <w:rPr>
          <w:rFonts w:ascii="Arad" w:hAnsi="Arad" w:cs="Arad" w:eastAsia="Arad"/>
          <w:b/>
          <w:color w:val="1C1C1C"/>
          <w:sz w:val="30"/>
        </w:rPr>
        <w:t>چرا باید به تداخلات دارویی توجه کنیم؟</w:t>
      </w:r>
    </w:p>
    <w:p>
      <w:pPr>
        <w:bidi/>
        <w:spacing w:after="160"/>
        <w:jc w:val="right"/>
      </w:pPr>
      <w:r>
        <w:rPr>
          <w:rFonts w:ascii="Arad" w:hAnsi="Arad" w:cs="Arad" w:eastAsia="Arad"/>
          <w:b w:val="0"/>
          <w:sz w:val="21"/>
        </w:rPr>
        <w:t>تداخل دارویی یعنی اثر یک دارو بر دارو، غذا یا آزمایشِ دیگر. بیشتر تداخل‌ها قابل پیشگیری‌اند: کافی است آن‌ها را بشناسید و پیش از تجویز بررسی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44"/>
              </w:rPr>
              <w:t>۶۵٪</w:t>
            </w:r>
          </w:p>
        </w:tc>
        <w:tc>
          <w:tcPr>
            <w:tcW w:type="dxa" w:w="5046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44"/>
              </w:rPr>
              <w:t>۱۷٪</w:t>
            </w:r>
          </w:p>
        </w:tc>
        <w:tc>
          <w:tcPr>
            <w:tcW w:type="dxa" w:w="5046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44"/>
              </w:rPr>
              <w:t>۵+</w:t>
            </w:r>
          </w:p>
        </w:tc>
      </w:tr>
      <w:tr>
        <w:tc>
          <w:tcPr>
            <w:tcW w:type="dxa" w:w="5046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sz w:val="19"/>
              </w:rPr>
              <w:t>بیماران بستری دست‌کم یک تداخل بالقوه دارند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color w:val="555555"/>
                <w:sz w:val="17"/>
              </w:rPr>
              <w:t>متاآنالیز ۱۵ مطالعه روی بیماران بستری (۲۰۲۳)</w:t>
            </w:r>
          </w:p>
        </w:tc>
        <w:tc>
          <w:tcPr>
            <w:tcW w:type="dxa" w:w="5046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sz w:val="19"/>
              </w:rPr>
              <w:t>سهم تداخل‌هایی که در بیمار واقعاً علامت می‌دهند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color w:val="555555"/>
                <w:sz w:val="17"/>
              </w:rPr>
              <w:t>یعنی از هر ۶ تداخل بالقوه، یکی واقعی می‌شود</w:t>
            </w:r>
          </w:p>
        </w:tc>
        <w:tc>
          <w:tcPr>
            <w:tcW w:type="dxa" w:w="5046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sz w:val="19"/>
              </w:rPr>
              <w:t>هرچه تعداد داروهای بیمار بیشتر شود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color w:val="555555"/>
                <w:sz w:val="17"/>
              </w:rPr>
              <w:t>خطر تداخل هم بیشتر می‌شود (چنددارویی)</w:t>
            </w:r>
          </w:p>
        </w:tc>
      </w:tr>
    </w:tbl>
    <w:p>
      <w:pPr>
        <w:spacing w:after="80"/>
      </w:pPr>
    </w:p>
    <w:p>
      <w:pPr>
        <w:bidi/>
        <w:spacing w:before="200" w:after="120"/>
        <w:jc w:val="right"/>
        <w:pBdr>
          <w:bottom w:val="single" w:sz="8" w:space="2" w:color="444444"/>
        </w:pBdr>
      </w:pPr>
      <w:r>
        <w:rPr>
          <w:rFonts w:ascii="Arad" w:hAnsi="Arad" w:cs="Arad" w:eastAsia="Arad"/>
          <w:b/>
          <w:color w:val="1C1C1C"/>
          <w:sz w:val="26"/>
        </w:rPr>
        <w:t>چهار نوع تداخل — با یک مثال برای هر کدام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نوع تداخل</w:t>
            </w:r>
          </w:p>
        </w:tc>
        <w:tc>
          <w:tcPr>
            <w:tcW w:type="dxa" w:w="5046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چه اتفاقی می‌افتد</w:t>
            </w:r>
          </w:p>
        </w:tc>
        <w:tc>
          <w:tcPr>
            <w:tcW w:type="dxa" w:w="5046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مثال</w:t>
            </w:r>
          </w:p>
        </w:tc>
      </w:tr>
      <w:tr>
        <w:tc>
          <w:tcPr>
            <w:tcW w:type="dxa" w:w="5046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فارماکوکینتیک</w:t>
            </w:r>
          </w:p>
        </w:tc>
        <w:tc>
          <w:tcPr>
            <w:tcW w:type="dxa" w:w="5046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یک دارو جذب، متابولیسم یا دفع داروی دیگر را تغییر می‌دهد</w:t>
            </w:r>
          </w:p>
        </w:tc>
        <w:tc>
          <w:tcPr>
            <w:tcW w:type="dxa" w:w="5046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فلوکونازول سطح تاکرولیموس را بالا می‌برد</w:t>
            </w:r>
          </w:p>
        </w:tc>
      </w:tr>
      <w:tr>
        <w:tc>
          <w:tcPr>
            <w:tcW w:type="dxa" w:w="5046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فارماکودینامیک</w:t>
            </w:r>
          </w:p>
        </w:tc>
        <w:tc>
          <w:tcPr>
            <w:tcW w:type="dxa" w:w="5046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دو دارو روی یک اندام اثر افزایشی یا ضدِ هم دارند</w:t>
            </w:r>
          </w:p>
        </w:tc>
        <w:tc>
          <w:tcPr>
            <w:tcW w:type="dxa" w:w="5046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مهارکننده ACE با اسپیرونولاکتون → پتاسیم خون بالا می‌رود</w:t>
            </w:r>
          </w:p>
        </w:tc>
      </w:tr>
      <w:tr>
        <w:tc>
          <w:tcPr>
            <w:tcW w:type="dxa" w:w="5046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فیزیکی (تزریقی)</w:t>
            </w:r>
          </w:p>
        </w:tc>
        <w:tc>
          <w:tcPr>
            <w:tcW w:type="dxa" w:w="5046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دو دارو در سرنگ یا لاین با هم رسوب می‌دهند یا خنثی می‌شوند</w:t>
            </w:r>
          </w:p>
        </w:tc>
        <w:tc>
          <w:tcPr>
            <w:tcW w:type="dxa" w:w="5046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سفتریاکسون با سرم کلسیم‌دار رسوب می‌دهد</w:t>
            </w:r>
          </w:p>
        </w:tc>
      </w:tr>
      <w:tr>
        <w:tc>
          <w:tcPr>
            <w:tcW w:type="dxa" w:w="5046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با آزمایش</w:t>
            </w:r>
          </w:p>
        </w:tc>
        <w:tc>
          <w:tcPr>
            <w:tcW w:type="dxa" w:w="5046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دارو نتیجه آزمایش را واقعاً یا به‌طور کاذب تغییر می‌دهد</w:t>
            </w:r>
          </w:p>
        </w:tc>
        <w:tc>
          <w:tcPr>
            <w:tcW w:type="dxa" w:w="5046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بیوتین TSH را کاذباً پایین نشان می‌دهد</w:t>
            </w:r>
          </w:p>
        </w:tc>
      </w:tr>
    </w:tbl>
    <w:p>
      <w:pPr>
        <w:spacing w:after="40"/>
      </w:pPr>
    </w:p>
    <w:p>
      <w:pPr>
        <w:bidi/>
        <w:spacing w:after="160"/>
        <w:jc w:val="right"/>
      </w:pPr>
      <w:r>
        <w:rPr>
          <w:rFonts w:ascii="Arad" w:hAnsi="Arad" w:cs="Arad" w:eastAsia="Arad"/>
          <w:b w:val="0"/>
          <w:color w:val="555555"/>
          <w:sz w:val="19"/>
        </w:rPr>
        <w:t>راهنمای نشانگر شدت:  X = منع مصرف   |   D = عمده   |   C = متوسط   |   B = خفیف</w:t>
      </w:r>
    </w:p>
    <w:p>
      <w:pPr>
        <w:bidi/>
        <w:spacing w:before="160" w:after="40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/>
          <w:color w:val="1C1C1C"/>
          <w:sz w:val="22"/>
        </w:rPr>
        <w:t>سه قانون ساده</w:t>
      </w:r>
    </w:p>
    <w:p>
      <w:pPr>
        <w:bidi/>
        <w:spacing w:after="200"/>
        <w:ind w:left="227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 w:val="0"/>
          <w:sz w:val="20"/>
        </w:rPr>
        <w:t>۱) هر داروی جدید را با فهرست داروهای بیمار مقایسه کنید — حتی داروهای بدون نسخه و مکمل‌ها.  ۲) اگر تداخل «عمده» یا «منع مصرف» بود: دارو را عوض کنید، دوز را تنظیم کنید یا فاصله زمانی بدهید.  ۳) تصمیم را در پرونده بنویسید و به پرستار و پزشک اطلاع دهید.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بخش ۱ — تداخلات دارو–دارو</w:t>
      </w:r>
    </w:p>
    <w:p>
      <w:pPr>
        <w:bidi/>
        <w:spacing w:after="200"/>
        <w:jc w:val="right"/>
      </w:pPr>
      <w:r>
        <w:rPr>
          <w:rFonts w:ascii="Arad" w:hAnsi="Arad" w:cs="Arad" w:eastAsia="Arad"/>
          <w:b/>
          <w:color w:val="1C1C1C"/>
          <w:sz w:val="30"/>
        </w:rPr>
        <w:t>هشت تداخل مهم که باید بشناسید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225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شدت</w:t>
            </w:r>
          </w:p>
        </w:tc>
        <w:tc>
          <w:tcPr>
            <w:tcW w:type="dxa" w:w="3674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دارو</w:t>
            </w:r>
          </w:p>
        </w:tc>
        <w:tc>
          <w:tcPr>
            <w:tcW w:type="dxa" w:w="3674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با چه دارویی</w:t>
            </w:r>
          </w:p>
        </w:tc>
        <w:tc>
          <w:tcPr>
            <w:tcW w:type="dxa" w:w="3061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چه می‌شود</w:t>
            </w:r>
          </w:p>
        </w:tc>
        <w:tc>
          <w:tcPr>
            <w:tcW w:type="dxa" w:w="3674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چه باید کرد</w:t>
            </w:r>
          </w:p>
        </w:tc>
      </w:tr>
      <w:tr>
        <w:tc>
          <w:tcPr>
            <w:tcW w:type="dxa" w:w="122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D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ماکرولیدها (آزیترومایسین، کلاریترومایسین)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داروهای طولانی‌کننده QT مانند اندانسترون و آمیودارون</w:t>
            </w:r>
          </w:p>
        </w:tc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آریتمی خطرناک قلبی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نوار قلب و اصلاح پتاسیم؛ اگر ممکن است داروی دیگری بدهید</w:t>
            </w:r>
          </w:p>
        </w:tc>
      </w:tr>
      <w:tr>
        <w:tc>
          <w:tcPr>
            <w:tcW w:type="dxa" w:w="1225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D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ضدقارچ‌های آزول (فلوکونازول، وریکونازول)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تاکرولیموس، سیکلوسپورین، وارفارین، استاتین‌ها</w:t>
            </w:r>
          </w:p>
        </w:tc>
        <w:tc>
          <w:tcPr>
            <w:tcW w:type="dxa" w:w="306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بالا رفتن سطح دارو و سمیت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سطح خونی دارو را اندازه بگیرید و دوز را کم کنید</w:t>
            </w:r>
          </w:p>
        </w:tc>
      </w:tr>
      <w:tr>
        <w:tc>
          <w:tcPr>
            <w:tcW w:type="dxa" w:w="122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D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ریفامپین (و کاربامازپین، فنی‌توئین)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وارفارین، کورتیکواستروئیدها، تاکرولیموس</w:t>
            </w:r>
          </w:p>
        </w:tc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کم شدن اثر دارو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دوز را با پایش آزمایشگاهی بالا ببرید</w:t>
            </w:r>
          </w:p>
        </w:tc>
      </w:tr>
      <w:tr>
        <w:tc>
          <w:tcPr>
            <w:tcW w:type="dxa" w:w="1225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C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NSAIDها (ایبوپروفن، دیکلوفناک)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وارفارین یا کورتیکواستروئیدها</w:t>
            </w:r>
          </w:p>
        </w:tc>
        <w:tc>
          <w:tcPr>
            <w:tcW w:type="dxa" w:w="306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خونریزی گوارشی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ترکیب نکنید؛ اگر ناچار شدید داروی محافظ معده بدهید</w:t>
            </w:r>
          </w:p>
        </w:tc>
      </w:tr>
      <w:tr>
        <w:tc>
          <w:tcPr>
            <w:tcW w:type="dxa" w:w="122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D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مهارکننده‌های ACE (کاپتوپریل، انالاپریل)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اسپیرونولاکتون یا مکمل پتاسیم</w:t>
            </w:r>
          </w:p>
        </w:tc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پتاسیم خون بالا می‌رود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پتاسیم را چک کنید و مکمل پتاسیم را قطع کنید</w:t>
            </w:r>
          </w:p>
        </w:tc>
      </w:tr>
      <w:tr>
        <w:tc>
          <w:tcPr>
            <w:tcW w:type="dxa" w:w="1225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X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کوتریموکسازول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متوترکسات</w:t>
            </w:r>
          </w:p>
        </w:tc>
        <w:tc>
          <w:tcPr>
            <w:tcW w:type="dxa" w:w="306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سرکوب شدید مغز استخوان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این دو را همزمان ندهید؛ آنتی‌بیوتیک دیگری انتخاب کنید</w:t>
            </w:r>
          </w:p>
        </w:tc>
      </w:tr>
      <w:tr>
        <w:tc>
          <w:tcPr>
            <w:tcW w:type="dxa" w:w="122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D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آمیودارون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دیگوکسین</w:t>
            </w:r>
          </w:p>
        </w:tc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مسمومیت با دیگوکسین</w:t>
            </w:r>
          </w:p>
        </w:tc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دوز دیگوکسین را نصف کنید و سطح آن را پایش کنید</w:t>
            </w:r>
          </w:p>
        </w:tc>
      </w:tr>
      <w:tr>
        <w:tc>
          <w:tcPr>
            <w:tcW w:type="dxa" w:w="1225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D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اوپیوئیدها (مورفین، فنتانیل)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بنزودیازپین‌ها (دیازپام، میدازولام)</w:t>
            </w:r>
          </w:p>
        </w:tc>
        <w:tc>
          <w:tcPr>
            <w:tcW w:type="dxa" w:w="306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کند شدن یا توقف تنفس</w:t>
            </w:r>
          </w:p>
        </w:tc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دوز را کم کنید؛ سطح هوشیاری و تنفس را پایش کنید</w:t>
            </w:r>
          </w:p>
        </w:tc>
      </w:tr>
    </w:tbl>
    <w:p>
      <w:pPr>
        <w:spacing w:after="40"/>
      </w:pPr>
    </w:p>
    <w:p>
      <w:pPr>
        <w:bidi/>
        <w:spacing w:before="160" w:after="40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/>
          <w:color w:val="1C1C1C"/>
          <w:sz w:val="22"/>
        </w:rPr>
        <w:t>نکته</w:t>
      </w:r>
    </w:p>
    <w:p>
      <w:pPr>
        <w:bidi/>
        <w:spacing w:after="200"/>
        <w:ind w:left="227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 w:val="0"/>
          <w:sz w:val="20"/>
        </w:rPr>
        <w:t>دو داروی بالا فقط نمونه‌اند. هر داروی جدیدی که به نسخه اضافه می‌شود را با همین منطق بررسی کنید: «این دارو چه اثری بر داروهای دیگر دارد؟»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بخش ۱ — ادامه</w:t>
      </w:r>
    </w:p>
    <w:p>
      <w:pPr>
        <w:bidi/>
        <w:spacing w:after="200"/>
        <w:jc w:val="right"/>
      </w:pPr>
      <w:r>
        <w:rPr>
          <w:rFonts w:ascii="Arad" w:hAnsi="Arad" w:cs="Arad" w:eastAsia="Arad"/>
          <w:b/>
          <w:color w:val="1C1C1C"/>
          <w:sz w:val="30"/>
        </w:rPr>
        <w:t>مکانیسم تداخل‌ها و چهار راه مدیریت آن‌ها</w:t>
      </w:r>
    </w:p>
    <w:p>
      <w:pPr>
        <w:bidi/>
        <w:spacing w:before="200" w:after="120"/>
        <w:jc w:val="right"/>
        <w:pBdr>
          <w:bottom w:val="single" w:sz="8" w:space="2" w:color="444444"/>
        </w:pBdr>
      </w:pPr>
      <w:r>
        <w:rPr>
          <w:rFonts w:ascii="Arad" w:hAnsi="Arad" w:cs="Arad" w:eastAsia="Arad"/>
          <w:b/>
          <w:color w:val="1C1C1C"/>
          <w:sz w:val="26"/>
        </w:rPr>
        <w:t>دو گروه دارو که بیشترین تداخل را می‌سازند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/>
      </w:tblPr>
      <w:tblGrid>
        <w:gridCol w:w="7569"/>
        <w:gridCol w:w="7569"/>
      </w:tblGrid>
      <w:tr>
        <w:tc>
          <w:tcPr>
            <w:tcW w:type="dxa" w:w="7654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مهارکننده‌ها (اثر را زیاد می‌کنند)</w:t>
            </w:r>
          </w:p>
        </w:tc>
        <w:tc>
          <w:tcPr>
            <w:tcW w:type="dxa" w:w="7654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مثال</w:t>
            </w:r>
          </w:p>
        </w:tc>
      </w:tr>
      <w:tr>
        <w:tc>
          <w:tcPr>
            <w:tcW w:type="dxa" w:w="765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ضدقارچ‌های آزول</w:t>
            </w:r>
          </w:p>
        </w:tc>
        <w:tc>
          <w:tcPr>
            <w:tcW w:type="dxa" w:w="765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فلوکونازول، وریکونازول</w:t>
            </w:r>
          </w:p>
        </w:tc>
      </w:tr>
      <w:tr>
        <w:tc>
          <w:tcPr>
            <w:tcW w:type="dxa" w:w="765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ماکرولیدها</w:t>
            </w:r>
          </w:p>
        </w:tc>
        <w:tc>
          <w:tcPr>
            <w:tcW w:type="dxa" w:w="765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کلاریترومایسین، اریترومایسین</w:t>
            </w:r>
          </w:p>
        </w:tc>
      </w:tr>
      <w:tr>
        <w:tc>
          <w:tcPr>
            <w:tcW w:type="dxa" w:w="765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سایمتیدین و آمیودارون</w:t>
            </w:r>
          </w:p>
        </w:tc>
        <w:tc>
          <w:tcPr>
            <w:tcW w:type="dxa" w:w="765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افزایش سطح خونی داروهای دیگر</w:t>
            </w:r>
          </w:p>
        </w:tc>
      </w:tr>
      <w:tr>
        <w:tc>
          <w:tcPr>
            <w:tcW w:type="dxa" w:w="765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آب گریپ‌فروت</w:t>
            </w:r>
          </w:p>
        </w:tc>
        <w:tc>
          <w:tcPr>
            <w:tcW w:type="dxa" w:w="765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همین اثر را دارد</w:t>
            </w:r>
          </w:p>
        </w:tc>
      </w:tr>
    </w:tbl>
    <w:p>
      <w:pPr>
        <w:spacing w:after="40"/>
      </w:pPr>
    </w:p>
    <w:p>
      <w:pPr>
        <w:bidi/>
        <w:spacing w:after="40"/>
        <w:jc w:val="right"/>
      </w:pPr>
      <w:r>
        <w:rPr>
          <w:rFonts w:ascii="Arad" w:hAnsi="Arad" w:cs="Arad" w:eastAsia="Arad"/>
          <w:b w:val="0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/>
      </w:tblPr>
      <w:tblGrid>
        <w:gridCol w:w="7569"/>
        <w:gridCol w:w="7569"/>
      </w:tblGrid>
      <w:tr>
        <w:tc>
          <w:tcPr>
            <w:tcW w:type="dxa" w:w="7654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القاکننده‌ها (اثر را کم می‌کنند)</w:t>
            </w:r>
          </w:p>
        </w:tc>
        <w:tc>
          <w:tcPr>
            <w:tcW w:type="dxa" w:w="7654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مثال</w:t>
            </w:r>
          </w:p>
        </w:tc>
      </w:tr>
      <w:tr>
        <w:tc>
          <w:tcPr>
            <w:tcW w:type="dxa" w:w="765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ریفامپین</w:t>
            </w:r>
          </w:p>
        </w:tc>
        <w:tc>
          <w:tcPr>
            <w:tcW w:type="dxa" w:w="765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کاهش اثر خیلی از داروها</w:t>
            </w:r>
          </w:p>
        </w:tc>
      </w:tr>
      <w:tr>
        <w:tc>
          <w:tcPr>
            <w:tcW w:type="dxa" w:w="765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کاربامازپین و فنی‌توئین</w:t>
            </w:r>
          </w:p>
        </w:tc>
        <w:tc>
          <w:tcPr>
            <w:tcW w:type="dxa" w:w="765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کاهش سطح داروهای همراه</w:t>
            </w:r>
          </w:p>
        </w:tc>
      </w:tr>
      <w:tr>
        <w:tc>
          <w:tcPr>
            <w:tcW w:type="dxa" w:w="765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فنوباربیتال</w:t>
            </w:r>
          </w:p>
        </w:tc>
        <w:tc>
          <w:tcPr>
            <w:tcW w:type="dxa" w:w="765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کاهش اثر ضدانعقادها</w:t>
            </w:r>
          </w:p>
        </w:tc>
      </w:tr>
      <w:tr>
        <w:tc>
          <w:tcPr>
            <w:tcW w:type="dxa" w:w="765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علف چای (گیاهی)</w:t>
            </w:r>
          </w:p>
        </w:tc>
        <w:tc>
          <w:tcPr>
            <w:tcW w:type="dxa" w:w="765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کاهش اثر داروی پیوند و ضدبارداری</w:t>
            </w:r>
          </w:p>
        </w:tc>
      </w:tr>
    </w:tbl>
    <w:p>
      <w:pPr>
        <w:spacing w:after="40"/>
      </w:pPr>
    </w:p>
    <w:p>
      <w:pPr>
        <w:bidi/>
        <w:spacing w:before="200" w:after="120"/>
        <w:jc w:val="right"/>
        <w:pBdr>
          <w:bottom w:val="single" w:sz="8" w:space="2" w:color="444444"/>
        </w:pBdr>
      </w:pPr>
      <w:r>
        <w:rPr>
          <w:rFonts w:ascii="Arad" w:hAnsi="Arad" w:cs="Arad" w:eastAsia="Arad"/>
          <w:b/>
          <w:color w:val="1C1C1C"/>
          <w:sz w:val="26"/>
        </w:rPr>
        <w:t>چهار راه برای مدیریت یک تداخل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21"/>
              </w:rPr>
              <w:t>۱. دارو را عوض کنید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ساده‌ترین راه: دارویی از همان گروه که تداخل ندارد انتخاب کنید.</w:t>
            </w:r>
          </w:p>
        </w:tc>
        <w:tc>
          <w:tcPr>
            <w:tcW w:type="dxa" w:w="3784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21"/>
              </w:rPr>
              <w:t>۲. دوز را تنظیم کنید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مثال: با آمیودارون، دوز دیگوکسین را نصف کنید.</w:t>
            </w:r>
          </w:p>
        </w:tc>
        <w:tc>
          <w:tcPr>
            <w:tcW w:type="dxa" w:w="3784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21"/>
              </w:rPr>
              <w:t>۳. فاصله زمانی بدهید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مثال: آنتی‌بیوتیک و مکمل آهن را ۲ ساعت از هم جدا کنید.</w:t>
            </w:r>
          </w:p>
        </w:tc>
        <w:tc>
          <w:tcPr>
            <w:tcW w:type="dxa" w:w="3784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21"/>
              </w:rPr>
              <w:t>۴. بیمار را پایش کنید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آزمایش، نوار قلب، سطح دارو یا علائم بالینی را پیگیری کنید.</w:t>
            </w:r>
          </w:p>
        </w:tc>
      </w:tr>
    </w:tbl>
    <w:p>
      <w:pPr>
        <w:spacing w:after="40"/>
      </w:pPr>
    </w:p>
    <w:p>
      <w:pPr>
        <w:bidi/>
        <w:spacing w:before="160" w:after="40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/>
          <w:color w:val="1C1C1C"/>
          <w:sz w:val="22"/>
        </w:rPr>
        <w:t>داروهایی که کوچک‌ترین تداخل در آن‌ها مهم است (شاخص درمانی باریک)</w:t>
      </w:r>
    </w:p>
    <w:p>
      <w:pPr>
        <w:bidi/>
        <w:spacing w:after="200"/>
        <w:ind w:left="227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 w:val="0"/>
          <w:sz w:val="20"/>
        </w:rPr>
        <w:t>وارفارین، انسولین، دیگوکسین، لیتیم، تئوفیلین، فنی‌توئین، کاربامازپین، والپروات، متوترکسات، سیکلوسپورین، تاکرولیموس، آمینوگلیکوزیدها، ونکومایسین، لووتیروکسین — اگر یکی از این‌ها در نسخه است، هر داروی جدید را حتماً بررسی کنید.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بخش ۲ — تداخل دارو با غذا</w:t>
      </w:r>
    </w:p>
    <w:p>
      <w:pPr>
        <w:bidi/>
        <w:spacing w:after="200"/>
        <w:jc w:val="right"/>
      </w:pPr>
      <w:r>
        <w:rPr>
          <w:rFonts w:ascii="Arad" w:hAnsi="Arad" w:cs="Arad" w:eastAsia="Arad"/>
          <w:b/>
          <w:color w:val="1C1C1C"/>
          <w:sz w:val="30"/>
        </w:rPr>
        <w:t>دارو و غذا: هشت مورد پُرتکرار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/>
      </w:tblPr>
      <w:tblGrid>
        <w:gridCol w:w="3784"/>
        <w:gridCol w:w="3784"/>
        <w:gridCol w:w="3784"/>
        <w:gridCol w:w="3784"/>
      </w:tblGrid>
      <w:tr>
        <w:tc>
          <w:tcPr>
            <w:tcW w:type="dxa" w:w="3674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غذا / نوشیدنی</w:t>
            </w:r>
          </w:p>
        </w:tc>
        <w:tc>
          <w:tcPr>
            <w:tcW w:type="dxa" w:w="3827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داروی درگیر</w:t>
            </w:r>
          </w:p>
        </w:tc>
        <w:tc>
          <w:tcPr>
            <w:tcW w:type="dxa" w:w="3214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چه می‌شود</w:t>
            </w:r>
          </w:p>
        </w:tc>
        <w:tc>
          <w:tcPr>
            <w:tcW w:type="dxa" w:w="4592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توصیه</w:t>
            </w:r>
          </w:p>
        </w:tc>
      </w:tr>
      <w:tr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شیر، ماست، پنیر و مکمل کلسیم</w:t>
            </w:r>
          </w:p>
        </w:tc>
        <w:tc>
          <w:tcPr>
            <w:tcW w:type="dxa" w:w="3827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سیپروفلوکساسین، تتراسیکلین، آهن، لووتیروکسین</w:t>
            </w:r>
          </w:p>
        </w:tc>
        <w:tc>
          <w:tcPr>
            <w:tcW w:type="dxa" w:w="321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جذب دارو کم می‌شود</w:t>
            </w:r>
          </w:p>
        </w:tc>
        <w:tc>
          <w:tcPr>
            <w:tcW w:type="dxa" w:w="4592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بین آن‌ها دست‌کم ۲ ساعت فاصله بدهید</w:t>
            </w:r>
          </w:p>
        </w:tc>
      </w:tr>
      <w:tr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آب گریپ‌فروت</w:t>
            </w:r>
          </w:p>
        </w:tc>
        <w:tc>
          <w:tcPr>
            <w:tcW w:type="dxa" w:w="3827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استاتین‌ها، سیکلوسپورین، آملودیپین، کاربامازپین</w:t>
            </w:r>
          </w:p>
        </w:tc>
        <w:tc>
          <w:tcPr>
            <w:tcW w:type="dxa" w:w="321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سطح دارو بالا می‌رود و سمیت می‌دهد</w:t>
            </w:r>
          </w:p>
        </w:tc>
        <w:tc>
          <w:tcPr>
            <w:tcW w:type="dxa" w:w="4592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در طول درمان کاملاً حذف شود؛ فاصله زمانی فایده ندارد</w:t>
            </w:r>
          </w:p>
        </w:tc>
      </w:tr>
      <w:tr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سبزیجات برگ‌سبز (ویتامین K)</w:t>
            </w:r>
          </w:p>
        </w:tc>
        <w:tc>
          <w:tcPr>
            <w:tcW w:type="dxa" w:w="3827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وارفارین</w:t>
            </w:r>
          </w:p>
        </w:tc>
        <w:tc>
          <w:tcPr>
            <w:tcW w:type="dxa" w:w="321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اثر رقیق‌کنندگی کم می‌شود</w:t>
            </w:r>
          </w:p>
        </w:tc>
        <w:tc>
          <w:tcPr>
            <w:tcW w:type="dxa" w:w="4592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مقدار خوراک روزانه ثابت بماند (حذف لازم نیست)</w:t>
            </w:r>
          </w:p>
        </w:tc>
      </w:tr>
      <w:tr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غذاهای تیرامین‌دار (پنیر کهنه، کالباس، سویا‌سس)</w:t>
            </w:r>
          </w:p>
        </w:tc>
        <w:tc>
          <w:tcPr>
            <w:tcW w:type="dxa" w:w="3827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لینزولید و مهارکننده‌های MAO</w:t>
            </w:r>
          </w:p>
        </w:tc>
        <w:tc>
          <w:tcPr>
            <w:tcW w:type="dxa" w:w="321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فشار خون به‌طور خطرناکی بالا می‌رود</w:t>
            </w:r>
          </w:p>
        </w:tc>
        <w:tc>
          <w:tcPr>
            <w:tcW w:type="dxa" w:w="4592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در طول درمان مصرف نشود</w:t>
            </w:r>
          </w:p>
        </w:tc>
      </w:tr>
      <w:tr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کافئین (چای، قهوه، نوشابه انرژی‌زا)</w:t>
            </w:r>
          </w:p>
        </w:tc>
        <w:tc>
          <w:tcPr>
            <w:tcW w:type="dxa" w:w="3827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تئوفیلین، سیپروفلوکساسین</w:t>
            </w:r>
          </w:p>
        </w:tc>
        <w:tc>
          <w:tcPr>
            <w:tcW w:type="dxa" w:w="321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بی‌قراری، تپش قلب و بی‌خوابی</w:t>
            </w:r>
          </w:p>
        </w:tc>
        <w:tc>
          <w:tcPr>
            <w:tcW w:type="dxa" w:w="4592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مصرف کافئین را محدود کنید</w:t>
            </w:r>
          </w:p>
        </w:tc>
      </w:tr>
      <w:tr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مکمل آهن با چای، قهوه و لبنیات</w:t>
            </w:r>
          </w:p>
        </w:tc>
        <w:tc>
          <w:tcPr>
            <w:tcW w:type="dxa" w:w="3827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جذب آهن و داروهای دیگر کم می‌شود</w:t>
            </w:r>
          </w:p>
        </w:tc>
        <w:tc>
          <w:tcPr>
            <w:tcW w:type="dxa" w:w="321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کم‌خونی بهتر نمی‌شود</w:t>
            </w:r>
          </w:p>
        </w:tc>
        <w:tc>
          <w:tcPr>
            <w:tcW w:type="dxa" w:w="4592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آهن را با آب یا آب‌پرتقال و با فاصله از بقیه داروها بدهید</w:t>
            </w:r>
          </w:p>
        </w:tc>
      </w:tr>
      <w:tr>
        <w:tc>
          <w:tcPr>
            <w:tcW w:type="dxa" w:w="367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شیرین‌بیان (حتی در آب‌نبات و دمنوش)</w:t>
            </w:r>
          </w:p>
        </w:tc>
        <w:tc>
          <w:tcPr>
            <w:tcW w:type="dxa" w:w="3827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داروهای فشارخون، دیورتیک‌ها، دیگوکسین</w:t>
            </w:r>
          </w:p>
        </w:tc>
        <w:tc>
          <w:tcPr>
            <w:tcW w:type="dxa" w:w="3214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پتاسیم خون پایین می‌آید</w:t>
            </w:r>
          </w:p>
        </w:tc>
        <w:tc>
          <w:tcPr>
            <w:tcW w:type="dxa" w:w="4592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در طول درمان مصرف نشود</w:t>
            </w:r>
          </w:p>
        </w:tc>
      </w:tr>
      <w:tr>
        <w:tc>
          <w:tcPr>
            <w:tcW w:type="dxa" w:w="367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الکل (حتی در شربت‌ها و دهان‌شویه)</w:t>
            </w:r>
          </w:p>
        </w:tc>
        <w:tc>
          <w:tcPr>
            <w:tcW w:type="dxa" w:w="3827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استامینوفن، بنزودیازپین‌ها، مترونیدازول</w:t>
            </w:r>
          </w:p>
        </w:tc>
        <w:tc>
          <w:tcPr>
            <w:tcW w:type="dxa" w:w="3214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آسیب کبدی یا خواب‌آلودگی شدید</w:t>
            </w:r>
          </w:p>
        </w:tc>
        <w:tc>
          <w:tcPr>
            <w:tcW w:type="dxa" w:w="4592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همزمان مصرف نشود؛ برچسب فرآورده را چک کنید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bidi/>
      </w:tblPr>
      <w:tblGrid>
        <w:gridCol w:w="7569"/>
        <w:gridCol w:w="7569"/>
      </w:tblGrid>
      <w:tr>
        <w:tc>
          <w:tcPr>
            <w:tcW w:type="dxa" w:w="7569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21"/>
              </w:rPr>
              <w:t>داروهایی که با معده خالی بهتر جذب می‌شوند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یک ساعت پیش از غذا یا دو ساعت پس از آن: آمپی‌سیلین، اریترومایسین استئارات، ریفامپین، لووتیروکسین، کتوکونازول.</w:t>
            </w:r>
          </w:p>
        </w:tc>
        <w:tc>
          <w:tcPr>
            <w:tcW w:type="dxa" w:w="7569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21"/>
              </w:rPr>
              <w:t>داروهایی که بهتر است با غذا باشند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برای کاهش دل‌درد یا جذب بهتر: ایبوپروفن و سایر NSAIDها، کورتیکواستروئیدها، آموکسی‌سیلین-کلاوولانات، نیتروفورانتوئین، مترونیدازول، گریزئوفولوین (با غذای چرب).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spacing w:after="4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بخش ۳ — تداخل دارو با آزمایش</w:t>
      </w:r>
    </w:p>
    <w:p>
      <w:pPr>
        <w:bidi/>
        <w:spacing w:after="200"/>
        <w:jc w:val="right"/>
      </w:pPr>
      <w:r>
        <w:rPr>
          <w:rFonts w:ascii="Arad" w:hAnsi="Arad" w:cs="Arad" w:eastAsia="Arad"/>
          <w:b/>
          <w:color w:val="1C1C1C"/>
          <w:sz w:val="30"/>
        </w:rPr>
        <w:t>دارو نتیجه آزمایش را واقعاً یا به‌طور کاذب تغییر می‌دهد</w:t>
      </w:r>
    </w:p>
    <w:p>
      <w:pPr>
        <w:bidi/>
        <w:spacing w:after="160"/>
        <w:jc w:val="right"/>
      </w:pPr>
      <w:r>
        <w:rPr>
          <w:rFonts w:ascii="Arad" w:hAnsi="Arad" w:cs="Arad" w:eastAsia="Arad"/>
          <w:b w:val="0"/>
          <w:sz w:val="21"/>
        </w:rPr>
        <w:t>هرگاه نتیجه آزمایش با حالِ بیمار نمی‌خواند، پیش از هر اقدامی احتمال تداخل دارویی را بررسی کنید.</w:t>
      </w:r>
    </w:p>
    <w:p>
      <w:pPr>
        <w:bidi/>
        <w:spacing w:before="160" w:after="40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/>
          <w:color w:val="1C1C1C"/>
          <w:sz w:val="22"/>
        </w:rPr>
        <w:t>هشدار مهم: بیوتین (ویتامین B7)</w:t>
      </w:r>
    </w:p>
    <w:p>
      <w:pPr>
        <w:bidi/>
        <w:spacing w:after="200"/>
        <w:ind w:left="227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 w:val="0"/>
          <w:sz w:val="20"/>
        </w:rPr>
        <w:t>بیوتین در بسیاری از کیت‌های آزمایشگاهی اختلال ایجاد می‌کند: TSH را کاذباً پایین و FT4 را کاذباً بالا نشان می‌دهد (شبیه پرکاری تیروئید) و تروپونین را کاذباً پایین می‌آورد (خطر از دست رفتن تشخیص سکته قلبی). مکمل بیوتین را ۸ ساعت (دوز معمول) تا ۷۲ ساعت (دوز بالا) پیش از نمونه‌گیری قطع کنید. منبع: هشدار FDA، ۲۰۱۷.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/>
      </w:tblPr>
      <w:tblGrid>
        <w:gridCol w:w="5046"/>
        <w:gridCol w:w="5046"/>
        <w:gridCol w:w="5046"/>
      </w:tblGrid>
      <w:tr>
        <w:tc>
          <w:tcPr>
            <w:tcW w:type="dxa" w:w="3061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آزمایش</w:t>
            </w:r>
          </w:p>
        </w:tc>
        <w:tc>
          <w:tcPr>
            <w:tcW w:type="dxa" w:w="6123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داروهایی که مقدار را بالا می‌برند</w:t>
            </w:r>
          </w:p>
        </w:tc>
        <w:tc>
          <w:tcPr>
            <w:tcW w:type="dxa" w:w="6123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داروهایی که مقدار را پایین می‌آورند</w:t>
            </w:r>
          </w:p>
        </w:tc>
      </w:tr>
      <w:tr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پتاسیم خون</w:t>
            </w:r>
          </w:p>
        </w:tc>
        <w:tc>
          <w:tcPr>
            <w:tcW w:type="dxa" w:w="6123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مهارکننده‌های ACE، اسپیرونولاکتون، NSAIDها، سیکلوسپورین</w:t>
            </w:r>
          </w:p>
        </w:tc>
        <w:tc>
          <w:tcPr>
            <w:tcW w:type="dxa" w:w="6123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انسولین، سالبوتامول، کاربامازپین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کراتینین و اوره</w:t>
            </w:r>
          </w:p>
        </w:tc>
        <w:tc>
          <w:tcPr>
            <w:tcW w:type="dxa" w:w="6123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سایمتیدین، کوتریموکسازول، کاپتوپریل، آمیکاسین</w:t>
            </w:r>
          </w:p>
        </w:tc>
        <w:tc>
          <w:tcPr>
            <w:tcW w:type="dxa" w:w="6123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ایبوپروفن، پردنیزولون</w:t>
            </w:r>
          </w:p>
        </w:tc>
      </w:tr>
      <w:tr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بیلی‌روبین</w:t>
            </w:r>
          </w:p>
        </w:tc>
        <w:tc>
          <w:tcPr>
            <w:tcW w:type="dxa" w:w="6123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استامینوفن، سیکلوسپورین، آزیترومایسین، ریفامپین</w:t>
            </w:r>
          </w:p>
        </w:tc>
        <w:tc>
          <w:tcPr>
            <w:tcW w:type="dxa" w:w="6123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فنوباربیتال، والپروات، فنی‌توئین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آنزیم‌های کبدی (ALT/AST)</w:t>
            </w:r>
          </w:p>
        </w:tc>
        <w:tc>
          <w:tcPr>
            <w:tcW w:type="dxa" w:w="6123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کاربامازپین، فنی‌توئین، استاتین‌ها، استامینوفن در مسمومیت</w:t>
            </w:r>
          </w:p>
        </w:tc>
        <w:tc>
          <w:tcPr>
            <w:tcW w:type="dxa" w:w="6123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ریفامپین، ایبوپروفن</w:t>
            </w:r>
          </w:p>
        </w:tc>
      </w:tr>
      <w:tr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اسیداوریک</w:t>
            </w:r>
          </w:p>
        </w:tc>
        <w:tc>
          <w:tcPr>
            <w:tcW w:type="dxa" w:w="6123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هیدروکلرتیازید، سیکلوسپورین، وارفارین، سیس‌پلاتین</w:t>
            </w:r>
          </w:p>
        </w:tc>
        <w:tc>
          <w:tcPr>
            <w:tcW w:type="dxa" w:w="6123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آلوپورینول، لوزارتان، دوز بالای آسپرین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پلاکت و گلبول قرمز</w:t>
            </w:r>
          </w:p>
        </w:tc>
        <w:tc>
          <w:tcPr>
            <w:tcW w:type="dxa" w:w="6123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آموکسی‌سیلین، لیتیم، قرص‌های ضدبارداری</w:t>
            </w:r>
          </w:p>
        </w:tc>
        <w:tc>
          <w:tcPr>
            <w:tcW w:type="dxa" w:w="6123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سفالوسپورین‌ها، کاربامازپین، متیل‌دوپا</w:t>
            </w:r>
          </w:p>
        </w:tc>
      </w:tr>
      <w:tr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PT / INR</w:t>
            </w:r>
          </w:p>
        </w:tc>
        <w:tc>
          <w:tcPr>
            <w:tcW w:type="dxa" w:w="6123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آنتی‌بیوتیک‌های وسیع‌الطیف، آسپرین، فنی‌توئین</w:t>
            </w:r>
          </w:p>
        </w:tc>
        <w:tc>
          <w:tcPr>
            <w:tcW w:type="dxa" w:w="6123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ویتامین K، ریفامپین، باربیتورات‌ها</w:t>
            </w:r>
          </w:p>
        </w:tc>
      </w:tr>
    </w:tbl>
    <w:p>
      <w:pPr>
        <w:spacing w:after="40"/>
      </w:pPr>
    </w:p>
    <w:p>
      <w:pPr>
        <w:bidi/>
        <w:spacing w:before="160" w:after="40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/>
          <w:color w:val="1C1C1C"/>
          <w:sz w:val="22"/>
        </w:rPr>
        <w:t>دو خطای رایج در نمونه‌گیری</w:t>
      </w:r>
    </w:p>
    <w:p>
      <w:pPr>
        <w:bidi/>
        <w:spacing w:after="200"/>
        <w:ind w:left="227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 w:val="0"/>
          <w:sz w:val="20"/>
        </w:rPr>
        <w:t>▪  نمونه را از همان لاینی که دارو در حال انفوزیون است نگیرید (نتیجه گلوکز، پتاسیم و الکترولیت‌ها را خراب می‌کند).  ▪  زمان نمونه را یادداشت کنید: نمونه برای اندازه‌گیری سطح دارو باید درست پیش از دوز بعدی باشد.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بخش ۴ — ناسازگاری داروهای تزریقی</w:t>
      </w:r>
    </w:p>
    <w:p>
      <w:pPr>
        <w:bidi/>
        <w:spacing w:after="200"/>
        <w:jc w:val="right"/>
      </w:pPr>
      <w:r>
        <w:rPr>
          <w:rFonts w:ascii="Arad" w:hAnsi="Arad" w:cs="Arad" w:eastAsia="Arad"/>
          <w:b/>
          <w:color w:val="1C1C1C"/>
          <w:sz w:val="30"/>
        </w:rPr>
        <w:t>پیش از وصل کردن هر دارو به لاین بیمار این صفحه را نگاه کنید</w:t>
      </w:r>
    </w:p>
    <w:p>
      <w:pPr>
        <w:bidi/>
        <w:spacing w:before="160" w:after="40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/>
          <w:color w:val="1C1C1C"/>
          <w:sz w:val="22"/>
        </w:rPr>
        <w:t>مهم‌ترین مورد: سفتریاکسون و کلسیم</w:t>
      </w:r>
    </w:p>
    <w:p>
      <w:pPr>
        <w:bidi/>
        <w:spacing w:after="200"/>
        <w:ind w:left="227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 w:val="0"/>
          <w:sz w:val="20"/>
        </w:rPr>
        <w:t>این دو با هم رسوب می‌دهند و در نوزادان موارد مرگ گزارش شده است. در نوزاد ۲۸ روز و کمتر، هرگز همزمان تجویز نشوند (حتی از دو لاین جدا). در بقیه بیماران می‌توان آن‌ها را یکی پس از دیگری و با فلاش کامل سرم نمکی داد. سفتریاکسون را با رینگر یا هارتمن رقیق نکنید.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/>
      </w:tblPr>
      <w:tblGrid>
        <w:gridCol w:w="3784"/>
        <w:gridCol w:w="3784"/>
        <w:gridCol w:w="3784"/>
        <w:gridCol w:w="3784"/>
      </w:tblGrid>
      <w:tr>
        <w:tc>
          <w:tcPr>
            <w:tcW w:type="dxa" w:w="3061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دارو</w:t>
            </w:r>
          </w:p>
        </w:tc>
        <w:tc>
          <w:tcPr>
            <w:tcW w:type="dxa" w:w="3827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ناسازگار با</w:t>
            </w:r>
          </w:p>
        </w:tc>
        <w:tc>
          <w:tcPr>
            <w:tcW w:type="dxa" w:w="3368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چه می‌شود</w:t>
            </w:r>
          </w:p>
        </w:tc>
        <w:tc>
          <w:tcPr>
            <w:tcW w:type="dxa" w:w="5051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چه باید کرد</w:t>
            </w:r>
          </w:p>
        </w:tc>
      </w:tr>
      <w:tr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فنی‌توئین</w:t>
            </w:r>
          </w:p>
        </w:tc>
        <w:tc>
          <w:tcPr>
            <w:tcW w:type="dxa" w:w="3827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سرم دکستروز و بیشتر داروها</w:t>
            </w:r>
          </w:p>
        </w:tc>
        <w:tc>
          <w:tcPr>
            <w:tcW w:type="dxa" w:w="3368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رسوب فوری</w:t>
            </w:r>
          </w:p>
        </w:tc>
        <w:tc>
          <w:tcPr>
            <w:tcW w:type="dxa" w:w="505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فقط با نرمال‌سالین؛ فیلتر و فلاش پیش و پس از تزریق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سدیم‌بی‌کربنات</w:t>
            </w:r>
          </w:p>
        </w:tc>
        <w:tc>
          <w:tcPr>
            <w:tcW w:type="dxa" w:w="3827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دوپامین، اپی‌نفرین، کلسیم، منیزیم</w:t>
            </w:r>
          </w:p>
        </w:tc>
        <w:tc>
          <w:tcPr>
            <w:tcW w:type="dxa" w:w="3368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دارو خنثی می‌شود یا رسوب می‌دهد</w:t>
            </w:r>
          </w:p>
        </w:tc>
        <w:tc>
          <w:tcPr>
            <w:tcW w:type="dxa" w:w="505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لاین جداگانه یا فلاش کامل</w:t>
            </w:r>
          </w:p>
        </w:tc>
      </w:tr>
      <w:tr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فوروزماید</w:t>
            </w:r>
          </w:p>
        </w:tc>
        <w:tc>
          <w:tcPr>
            <w:tcW w:type="dxa" w:w="3827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میدازولام، لابتالول، ونکومایسین</w:t>
            </w:r>
          </w:p>
        </w:tc>
        <w:tc>
          <w:tcPr>
            <w:tcW w:type="dxa" w:w="3368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رسوب</w:t>
            </w:r>
          </w:p>
        </w:tc>
        <w:tc>
          <w:tcPr>
            <w:tcW w:type="dxa" w:w="505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لاین جدا یا فلاش بین دو دارو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آمفوتریسین B</w:t>
            </w:r>
          </w:p>
        </w:tc>
        <w:tc>
          <w:tcPr>
            <w:tcW w:type="dxa" w:w="3827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نرمال‌سالین و سرم‌های الکترولیتی</w:t>
            </w:r>
          </w:p>
        </w:tc>
        <w:tc>
          <w:tcPr>
            <w:tcW w:type="dxa" w:w="3368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رسوب و از بین رفتن دارو</w:t>
            </w:r>
          </w:p>
        </w:tc>
        <w:tc>
          <w:tcPr>
            <w:tcW w:type="dxa" w:w="505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فقط با سرم دکستروز ۵٪</w:t>
            </w:r>
          </w:p>
        </w:tc>
      </w:tr>
      <w:tr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هپارین</w:t>
            </w:r>
          </w:p>
        </w:tc>
        <w:tc>
          <w:tcPr>
            <w:tcW w:type="dxa" w:w="3827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آمینوگلیکوزیدها، آمپی‌سیلین، مورفین</w:t>
            </w:r>
          </w:p>
        </w:tc>
        <w:tc>
          <w:tcPr>
            <w:tcW w:type="dxa" w:w="3368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خنثی شدن هر دو دارو</w:t>
            </w:r>
          </w:p>
        </w:tc>
        <w:tc>
          <w:tcPr>
            <w:tcW w:type="dxa" w:w="505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لاین جداگانه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ونکومایسین</w:t>
            </w:r>
          </w:p>
        </w:tc>
        <w:tc>
          <w:tcPr>
            <w:tcW w:type="dxa" w:w="3827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پنی‌سیلین‌ها، سفالوسپورین‌ها، بی‌کربنات</w:t>
            </w:r>
          </w:p>
        </w:tc>
        <w:tc>
          <w:tcPr>
            <w:tcW w:type="dxa" w:w="3368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رسوب</w:t>
            </w:r>
          </w:p>
        </w:tc>
        <w:tc>
          <w:tcPr>
            <w:tcW w:type="dxa" w:w="5051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فلاش کامل یا لاین جدا</w:t>
            </w:r>
          </w:p>
        </w:tc>
      </w:tr>
      <w:tr>
        <w:tc>
          <w:tcPr>
            <w:tcW w:type="dxa" w:w="306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تغذیه وریدی (TPN) و لیپید</w:t>
            </w:r>
          </w:p>
        </w:tc>
        <w:tc>
          <w:tcPr>
            <w:tcW w:type="dxa" w:w="3827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کلسیم در کنار فسفات و بیشتر داروها</w:t>
            </w:r>
          </w:p>
        </w:tc>
        <w:tc>
          <w:tcPr>
            <w:tcW w:type="dxa" w:w="3368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رسوب یا شکستن امولسیون</w:t>
            </w:r>
          </w:p>
        </w:tc>
        <w:tc>
          <w:tcPr>
            <w:tcW w:type="dxa" w:w="5051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هیچ دارویی را به کیسه تغذیه وریدی اضافه نکنید</w:t>
            </w:r>
          </w:p>
        </w:tc>
      </w:tr>
    </w:tbl>
    <w:p>
      <w:pPr>
        <w:spacing w:after="40"/>
      </w:pPr>
    </w:p>
    <w:p>
      <w:pPr>
        <w:bidi/>
        <w:spacing w:before="160" w:after="40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/>
          <w:color w:val="1C1C1C"/>
          <w:sz w:val="22"/>
        </w:rPr>
        <w:t>سه قانون پیش از وصل کردن دارو به لاین (Y-site)</w:t>
      </w:r>
    </w:p>
    <w:p>
      <w:pPr>
        <w:bidi/>
        <w:spacing w:after="200"/>
        <w:ind w:left="227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 w:val="0"/>
          <w:sz w:val="20"/>
        </w:rPr>
        <w:t>۱) سازگاری را در منبع معتبر (Trissel یا برنامه سازگاری بیمارستان) بررسی کنید.  ۲) پیش و پس از هر دارو با نرمال‌سالین فلاش دهید.  ۳) حین تزریق لاین را از نظر کدورت و ذرات نگاه کنید؛ اگر شک داشتید، ست را عوض کنید.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بخش ۵ — گیاهان دارویی و مکمل‌ها</w:t>
      </w:r>
    </w:p>
    <w:p>
      <w:pPr>
        <w:bidi/>
        <w:spacing w:after="200"/>
        <w:jc w:val="right"/>
      </w:pPr>
      <w:r>
        <w:rPr>
          <w:rFonts w:ascii="Arad" w:hAnsi="Arad" w:cs="Arad" w:eastAsia="Arad"/>
          <w:b/>
          <w:color w:val="1C1C1C"/>
          <w:sz w:val="30"/>
        </w:rPr>
        <w:t>شش مورد پُرخطر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/>
      </w:tblPr>
      <w:tblGrid>
        <w:gridCol w:w="3784"/>
        <w:gridCol w:w="3784"/>
        <w:gridCol w:w="3784"/>
        <w:gridCol w:w="3784"/>
      </w:tblGrid>
      <w:tr>
        <w:tc>
          <w:tcPr>
            <w:tcW w:type="dxa" w:w="1225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شدت</w:t>
            </w:r>
          </w:p>
        </w:tc>
        <w:tc>
          <w:tcPr>
            <w:tcW w:type="dxa" w:w="3980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گیاه یا مکمل</w:t>
            </w:r>
          </w:p>
        </w:tc>
        <w:tc>
          <w:tcPr>
            <w:tcW w:type="dxa" w:w="5817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چه می‌کند</w:t>
            </w:r>
          </w:p>
        </w:tc>
        <w:tc>
          <w:tcPr>
            <w:tcW w:type="dxa" w:w="4286"/>
            <w:shd w:val="clear" w:color="auto" w:fill="E3E3E3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9"/>
              </w:rPr>
              <w:t>توصیه</w:t>
            </w:r>
          </w:p>
        </w:tc>
      </w:tr>
      <w:tr>
        <w:tc>
          <w:tcPr>
            <w:tcW w:type="dxa" w:w="122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X</w:t>
            </w:r>
          </w:p>
        </w:tc>
        <w:tc>
          <w:tcPr>
            <w:tcW w:type="dxa" w:w="3980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علف چای (گیاهی)</w:t>
            </w:r>
          </w:p>
        </w:tc>
        <w:tc>
          <w:tcPr>
            <w:tcW w:type="dxa" w:w="5817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اثر داروهای زیادی را کم می‌کند: سیکلوسپورین، وارفارین، قرص ضدبارداری، ضدتشنج‌ها</w:t>
            </w:r>
          </w:p>
        </w:tc>
        <w:tc>
          <w:tcPr>
            <w:tcW w:type="dxa" w:w="4286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در بیمار بستری مصرف نشود</w:t>
            </w:r>
          </w:p>
        </w:tc>
      </w:tr>
      <w:tr>
        <w:tc>
          <w:tcPr>
            <w:tcW w:type="dxa" w:w="1225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D</w:t>
            </w:r>
          </w:p>
        </w:tc>
        <w:tc>
          <w:tcPr>
            <w:tcW w:type="dxa" w:w="3980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سیر، جینکگو، جینسینگ، زنجبیل</w:t>
            </w:r>
          </w:p>
        </w:tc>
        <w:tc>
          <w:tcPr>
            <w:tcW w:type="dxa" w:w="5817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با وارفارین، هپارین و NSAIDها خطر خونریزی را زیاد می‌کنند</w:t>
            </w:r>
          </w:p>
        </w:tc>
        <w:tc>
          <w:tcPr>
            <w:tcW w:type="dxa" w:w="4286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دست‌کم ۷ تا ۱۰ روز پیش از جراحی قطع شود</w:t>
            </w:r>
          </w:p>
        </w:tc>
      </w:tr>
      <w:tr>
        <w:tc>
          <w:tcPr>
            <w:tcW w:type="dxa" w:w="122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D</w:t>
            </w:r>
          </w:p>
        </w:tc>
        <w:tc>
          <w:tcPr>
            <w:tcW w:type="dxa" w:w="3980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بیوتین (ویتامین B7)</w:t>
            </w:r>
          </w:p>
        </w:tc>
        <w:tc>
          <w:tcPr>
            <w:tcW w:type="dxa" w:w="5817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نتیجه آزمایش‌ها را کاذب می‌کند (TSH پایین، تروپونین پایین)</w:t>
            </w:r>
          </w:p>
        </w:tc>
        <w:tc>
          <w:tcPr>
            <w:tcW w:type="dxa" w:w="4286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۸ تا ۷۲ ساعت پیش از نمونه‌گیری قطع شود</w:t>
            </w:r>
          </w:p>
        </w:tc>
      </w:tr>
      <w:tr>
        <w:tc>
          <w:tcPr>
            <w:tcW w:type="dxa" w:w="1225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C</w:t>
            </w:r>
          </w:p>
        </w:tc>
        <w:tc>
          <w:tcPr>
            <w:tcW w:type="dxa" w:w="3980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مکمل‌های کلسیم، آهن، منیزیم، روی</w:t>
            </w:r>
          </w:p>
        </w:tc>
        <w:tc>
          <w:tcPr>
            <w:tcW w:type="dxa" w:w="5817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جذب آنتی‌بیوتیک‌ها، لووتیروکسین و بیس‌فسفونات‌ها را کم می‌کنند</w:t>
            </w:r>
          </w:p>
        </w:tc>
        <w:tc>
          <w:tcPr>
            <w:tcW w:type="dxa" w:w="4286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بین مکمل و دارو ۲ تا ۴ ساعت فاصله بدهید</w:t>
            </w:r>
          </w:p>
        </w:tc>
      </w:tr>
      <w:tr>
        <w:tc>
          <w:tcPr>
            <w:tcW w:type="dxa" w:w="122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C</w:t>
            </w:r>
          </w:p>
        </w:tc>
        <w:tc>
          <w:tcPr>
            <w:tcW w:type="dxa" w:w="3980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سنبل‌الطیب، بابونه، گل ساعتی</w:t>
            </w:r>
          </w:p>
        </w:tc>
        <w:tc>
          <w:tcPr>
            <w:tcW w:type="dxa" w:w="5817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خواب‌آلودگی داروهای آرام‌بخش و اوپیوئیدها را بیشتر می‌کنند</w:t>
            </w:r>
          </w:p>
        </w:tc>
        <w:tc>
          <w:tcPr>
            <w:tcW w:type="dxa" w:w="4286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در بیمارستان مصرف نشود</w:t>
            </w:r>
          </w:p>
        </w:tc>
      </w:tr>
      <w:tr>
        <w:tc>
          <w:tcPr>
            <w:tcW w:type="dxa" w:w="1225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18"/>
              </w:rPr>
              <w:t>D</w:t>
            </w:r>
          </w:p>
        </w:tc>
        <w:tc>
          <w:tcPr>
            <w:tcW w:type="dxa" w:w="3980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شیرین‌بیان</w:t>
            </w:r>
          </w:p>
        </w:tc>
        <w:tc>
          <w:tcPr>
            <w:tcW w:type="dxa" w:w="5817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با دیورتیک‌ها و دیگوکسین پتاسیم خون را پایین می‌آورد</w:t>
            </w:r>
          </w:p>
        </w:tc>
        <w:tc>
          <w:tcPr>
            <w:tcW w:type="dxa" w:w="4286"/>
            <w:shd w:val="clear" w:color="auto" w:fill="F5F5F5"/>
          </w:tcPr>
          <w:p>
            <w:pPr>
              <w:bidi/>
              <w:spacing w:after="40"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18"/>
              </w:rPr>
              <w:t>در طول درمان مصرف نشود</w:t>
            </w:r>
          </w:p>
        </w:tc>
      </w:tr>
    </w:tbl>
    <w:p>
      <w:pPr>
        <w:spacing w:after="40"/>
      </w:pPr>
    </w:p>
    <w:p>
      <w:pPr>
        <w:bidi/>
        <w:spacing w:before="160" w:after="40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/>
          <w:color w:val="1C1C1C"/>
          <w:sz w:val="22"/>
        </w:rPr>
        <w:t>سه پرسش ساده هنگام پذیرش بیمار</w:t>
      </w:r>
    </w:p>
    <w:p>
      <w:pPr>
        <w:bidi/>
        <w:spacing w:after="200"/>
        <w:ind w:left="227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 w:val="0"/>
          <w:sz w:val="20"/>
        </w:rPr>
        <w:t>۱) داروی بدون نسخه هم می‌خورید؟ (استامینوفن، ایبوپروفن، آنتی‌هیستامین، شربت سرماخوردگی)  ۲) داروی گیاهی، دمنوش یا مکمل و ویتامین مصرف می‌کنید؟  ۳) چه داروهایی را در خانه می‌خورید که در بیمارستان ادامه نیافته یا قطع شده است؟</w:t>
      </w:r>
    </w:p>
    <w:p>
      <w:pPr>
        <w:bidi/>
        <w:spacing w:before="160" w:after="40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/>
          <w:color w:val="1C1C1C"/>
          <w:sz w:val="22"/>
        </w:rPr>
        <w:t>چه بیمارانی در خطر بیشتری هستند؟</w:t>
      </w:r>
    </w:p>
    <w:p>
      <w:pPr>
        <w:bidi/>
        <w:spacing w:after="200"/>
        <w:ind w:left="227"/>
        <w:jc w:val="right"/>
        <w:pBdr>
          <w:top w:val="single" w:sz="8" w:space="4" w:color="777777"/>
          <w:left w:val="single" w:sz="8" w:space="4" w:color="777777"/>
          <w:bottom w:val="single" w:sz="8" w:space="4" w:color="777777"/>
          <w:right w:val="single" w:sz="8" w:space="4" w:color="777777"/>
        </w:pBdr>
      </w:pPr>
      <w:r>
        <w:rPr>
          <w:rFonts w:ascii="Arad" w:hAnsi="Arad" w:cs="Arad" w:eastAsia="Arad"/>
          <w:b w:val="0"/>
          <w:sz w:val="20"/>
        </w:rPr>
        <w:t>بیماران با پنج دارو یا بیشتر، سالمندان، بیماران با نارسایی کلیه یا کبد، بیماران بخش مراقبت ویژه، و هر بیماری که داروی با شاخص درمانی باریک دارد.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بخش ۶ — چک‌لیست، پرچم‌های قرمز و منابع</w:t>
      </w:r>
    </w:p>
    <w:p>
      <w:pPr>
        <w:bidi/>
        <w:spacing w:after="200"/>
        <w:jc w:val="right"/>
      </w:pPr>
      <w:r>
        <w:rPr>
          <w:rFonts w:ascii="Arad" w:hAnsi="Arad" w:cs="Arad" w:eastAsia="Arad"/>
          <w:b/>
          <w:color w:val="1C1C1C"/>
          <w:sz w:val="30"/>
        </w:rPr>
        <w:t>روش کارِ ساده برای بررسی هر نسخه</w:t>
      </w:r>
    </w:p>
    <w:p>
      <w:pPr>
        <w:bidi/>
        <w:spacing w:before="200" w:after="120"/>
        <w:jc w:val="right"/>
        <w:pBdr>
          <w:bottom w:val="single" w:sz="8" w:space="2" w:color="444444"/>
        </w:pBdr>
      </w:pPr>
      <w:r>
        <w:rPr>
          <w:rFonts w:ascii="Arad" w:hAnsi="Arad" w:cs="Arad" w:eastAsia="Arad"/>
          <w:b/>
          <w:color w:val="1C1C1C"/>
          <w:sz w:val="26"/>
        </w:rPr>
        <w:t>شش گام برای بررسی تداخل در هر نسخه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sz w:val="21"/>
        </w:rPr>
        <w:t>1. فهرست کامل داروها را بنویسید: نسخه‌ای، بدون نسخه، گیاهی، مکمل، تغذیه‌ای.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sz w:val="21"/>
        </w:rPr>
        <w:t>2. داروهای پُرخطر (شاخص درمانی باریک) را علامت بزنید.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sz w:val="21"/>
        </w:rPr>
        <w:t>3. تداخل را در یک منبع معتبر (Lexicomp، Micromedex، UpToDate) چک کنید.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sz w:val="21"/>
        </w:rPr>
        <w:t>4. شدت را تعیین کنید: منع مصرف (X)، عمده (D)، متوسط (C)، خفیف (B).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sz w:val="21"/>
        </w:rPr>
        <w:t>5. یکی از چهار راه را انتخاب کنید: تعویض دارو، تنظیم دوز، فاصله زمانی، پایش.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sz w:val="21"/>
        </w:rPr>
        <w:t>6. تصمیم را در پرونده ثبت کنید و به پزشک و پرستار اطلاع دهید.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/>
      </w:tblPr>
      <w:tblGrid>
        <w:gridCol w:w="7569"/>
        <w:gridCol w:w="7569"/>
      </w:tblGrid>
      <w:tr>
        <w:tc>
          <w:tcPr>
            <w:tcW w:type="dxa" w:w="7569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21"/>
              </w:rPr>
              <w:t>پرچم‌های قرمز — این موارد را ساده نگذرانید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▪  بیمار با پنج دارو یا بیشتر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▪  داروی با شاخص درمانی باریک در نسخه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▪  نارسایی کلیه یا کبد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▪  سالمند یا بیمار بدحال در بخش ویژه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▪  نتیجه آزمایش یا سطح داروی غیرمنتظره</w:t>
            </w:r>
          </w:p>
        </w:tc>
        <w:tc>
          <w:tcPr>
            <w:tcW w:type="dxa" w:w="7569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/>
                <w:color w:val="1C1C1C"/>
                <w:sz w:val="21"/>
              </w:rPr>
              <w:t>منبع را کجا چک کنیم؟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▪  تداخل دارویی: Lexicomp، Micromedex، UpToDate، Medscape، Drugs.com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▪  سازگاری تزریقی: Trissel’s Handbook on Injectable Drugs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▪  آزمایشگاه: دستورالعمل آزمایشگاه بیمارستان و هشدارهای FDA</w:t>
            </w:r>
          </w:p>
          <w:p>
            <w:pPr>
              <w:bidi/>
              <w:jc w:val="right"/>
            </w:pPr>
            <w:r>
              <w:rPr>
                <w:rFonts w:ascii="Arad" w:hAnsi="Arad" w:cs="Arad" w:eastAsia="Arad"/>
                <w:b w:val="0"/>
                <w:sz w:val="19"/>
              </w:rPr>
              <w:t>▪  منابع فارسی و ترجمه‌ای: کتاب‌های Stockley و راهنماهای داخلی دارو و درمان</w:t>
            </w:r>
          </w:p>
        </w:tc>
      </w:tr>
    </w:tbl>
    <w:p>
      <w:pPr>
        <w:spacing w:after="40"/>
      </w:pPr>
    </w:p>
    <w:p>
      <w:pPr>
        <w:bidi/>
        <w:spacing w:before="200" w:after="120"/>
        <w:jc w:val="right"/>
        <w:pBdr>
          <w:bottom w:val="single" w:sz="8" w:space="2" w:color="444444"/>
        </w:pBdr>
      </w:pPr>
      <w:r>
        <w:rPr>
          <w:rFonts w:ascii="Arad" w:hAnsi="Arad" w:cs="Arad" w:eastAsia="Arad"/>
          <w:b/>
          <w:color w:val="1C1C1C"/>
          <w:sz w:val="26"/>
        </w:rPr>
        <w:t>منابع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1. Aksoy N, Ozturk N. متاآنالیز شیوع تداخلات دارو–دارو در بیماران بستری (۲۰۲۳) — ۶۴.۹٪ تداخل بالقوه و ۱۷.۲٪ تداخل با علامت بالینی.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2. هشدار ایمنی سازمان غذا و داروی آمریکا (FDA) درباره تداخل بیوتین با آزمایش‌های ایمونواسی — ۲۰۱۷.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3. برچسب رسمی Rocephin (سفتریاکسون): منع مصرف همزمان با محلول‌های حاوی کلسیم در نوزادان.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4. برچسب رسمی Zithromax (آزیترومایسین): هشدار طولانی‌شدن QT و آریتمی بطنی.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5. مرورهای UpToDate و پایگاه Lexicomp در زمینه تداخلات دارویی و مدیریت آن‌ها.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6. American Family Physician — مدیریت تداخل آب گریپ‌فروت با داروها.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7. CHOC Children’s و AAP HealthyChildren — تداخل غذا و دارو.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8. Trissel’s Handbook on Injectable Drugs — سازگاری داروهای تزریقی.</w:t>
      </w:r>
    </w:p>
    <w:p>
      <w:pPr>
        <w:bidi/>
        <w:spacing w:after="60"/>
        <w:jc w:val="right"/>
      </w:pPr>
      <w:r>
        <w:rPr>
          <w:rFonts w:ascii="Arad" w:hAnsi="Arad" w:cs="Arad" w:eastAsia="Arad"/>
          <w:b w:val="0"/>
          <w:color w:val="555555"/>
          <w:sz w:val="18"/>
        </w:rPr>
        <w:t>9. منابع ارسالی شما: «تداخلات دارویی رایج»، «تداخلات دارویی مرگبار» و جزوه «داروها و مقادیر آزمایشگاهی».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20"/>
              </w:rPr>
              <w:t>تهیه و تدوین (دکتر داروساز): ...............................</w:t>
            </w:r>
          </w:p>
        </w:tc>
        <w:tc>
          <w:tcPr>
            <w:tcW w:type="dxa" w:w="5046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20"/>
              </w:rPr>
              <w:t>تأیید کمیته دارو و درمان:  ...............................</w:t>
            </w:r>
          </w:p>
        </w:tc>
        <w:tc>
          <w:tcPr>
            <w:tcW w:type="dxa" w:w="5046"/>
          </w:tcPr>
          <w:p>
            <w:pPr>
              <w:bidi/>
              <w:jc w:val="right"/>
            </w:pPr>
            <w:r/>
            <w:r>
              <w:rPr>
                <w:rFonts w:ascii="Arad" w:hAnsi="Arad" w:cs="Arad" w:eastAsia="Arad"/>
                <w:b w:val="0"/>
                <w:color w:val="1C1C1C"/>
                <w:sz w:val="20"/>
              </w:rPr>
              <w:t>تاریخ بازنگری بعدی:  ...............................</w:t>
            </w:r>
          </w:p>
        </w:tc>
      </w:tr>
    </w:tbl>
    <w:p>
      <w:pPr>
        <w:spacing w:after="80"/>
      </w:pPr>
    </w:p>
    <w:p>
      <w:pPr>
        <w:bidi/>
        <w:spacing w:after="160"/>
        <w:jc w:val="right"/>
      </w:pPr>
      <w:r>
        <w:rPr>
          <w:rFonts w:ascii="Arad" w:hAnsi="Arad" w:cs="Arad" w:eastAsia="Arad"/>
          <w:b w:val="0"/>
          <w:sz w:val="21"/>
        </w:rPr>
        <w:t>این راهنما آموزشی است و جایگزین قضاوت بالینی، برچسب رسمی دارو و منابع به‌روز نیست.</w:t>
      </w:r>
    </w:p>
    <w:sectPr w:rsidR="00FC693F" w:rsidRPr="0006063C" w:rsidSect="00034616">
      <w:footerReference w:type="default" r:id="rId9"/>
      <w:pgSz w:w="16838" w:h="11906" w:orient="landscape"/>
      <w:pgMar w:top="737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ad" w:hAnsi="Arad" w:cs="Arad" w:eastAsia="Arad"/>
        <w:b w:val="0"/>
        <w:color w:val="555555"/>
        <w:sz w:val="16"/>
      </w:rPr>
      <w:t>راهنمای تداخلات دارویی بیمارستان — تدوین: دکتر داروساز  |  ویرایش: شهریور ۱۴۰۵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ad" w:hAnsi="Arad" w:cs="Ara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