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3946"/>
          <w:sz w:val="22"/>
        </w:rPr>
        <w:t>PENETRATION TESTING REPORT  —  CONFIDENTIAL</w:t>
      </w:r>
    </w:p>
    <w:p/>
    <w:p>
      <w:r>
        <w:rPr>
          <w:b/>
          <w:color w:val="2B2D42"/>
          <w:sz w:val="36"/>
        </w:rPr>
        <w:t>Penetration Testing Report</w:t>
      </w:r>
    </w:p>
    <w:p>
      <w:r>
        <w:rPr>
          <w:b/>
          <w:sz w:val="19"/>
        </w:rPr>
        <w:t>Date:</w:t>
      </w:r>
      <w:r>
        <w:rPr>
          <w:sz w:val="19"/>
        </w:rPr>
        <w:t xml:space="preserve"> 20 June 2026</w:t>
      </w:r>
    </w:p>
    <w:p>
      <w:r>
        <w:rPr>
          <w:b/>
          <w:sz w:val="19"/>
        </w:rPr>
        <w:t>Prepared by:</w:t>
      </w:r>
      <w:r>
        <w:rPr>
          <w:sz w:val="19"/>
        </w:rPr>
        <w:t xml:space="preserve"> RMW-PenStrike</w:t>
      </w:r>
    </w:p>
    <w:p>
      <w:r>
        <w:rPr>
          <w:b/>
          <w:sz w:val="19"/>
        </w:rPr>
        <w:t>Classification:</w:t>
      </w:r>
      <w:r>
        <w:rPr>
          <w:sz w:val="19"/>
        </w:rPr>
        <w:t xml:space="preserve"> Client Confidential</w:t>
      </w:r>
    </w:p>
    <w:p>
      <w:r>
        <w:rPr>
          <w:b/>
          <w:color w:val="E63946"/>
          <w:sz w:val="28"/>
        </w:rPr>
        <w:t>Document Control</w:t>
      </w:r>
    </w:p>
    <w:p>
      <w:r>
        <w:rPr>
          <w:b/>
          <w:color w:val="2B2D42"/>
          <w:sz w:val="23"/>
        </w:rPr>
        <w:t>Client Confidentiality</w:t>
      </w:r>
    </w:p>
    <w:p>
      <w:r>
        <w:rPr>
          <w:sz w:val="19"/>
        </w:rPr>
        <w:t>This document contains Client Confidential information and may not be copied without written permission.</w:t>
      </w:r>
    </w:p>
    <w:p>
      <w:r>
        <w:rPr>
          <w:b/>
          <w:color w:val="2B2D42"/>
          <w:sz w:val="23"/>
        </w:rPr>
        <w:t>Document Version Control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2B2D42"/>
          </w:tcPr>
          <w:p>
            <w:pPr>
              <w:jc w:val="left"/>
            </w:pPr>
            <w:r/>
            <w:r>
              <w:rPr>
                <w:b/>
                <w:color w:val="FFFFFF"/>
                <w:sz w:val="18"/>
              </w:rPr>
              <w:t>Issue No.</w:t>
            </w:r>
          </w:p>
        </w:tc>
        <w:tc>
          <w:tcPr>
            <w:tcW w:type="dxa" w:w="2412"/>
            <w:shd w:val="clear" w:fill="2B2D42"/>
          </w:tcPr>
          <w:p>
            <w:pPr>
              <w:jc w:val="left"/>
            </w:pPr>
            <w:r/>
            <w:r>
              <w:rPr>
                <w:b/>
                <w:color w:val="FFFFFF"/>
                <w:sz w:val="18"/>
              </w:rPr>
              <w:t>Issue Date</w:t>
            </w:r>
          </w:p>
        </w:tc>
        <w:tc>
          <w:tcPr>
            <w:tcW w:type="dxa" w:w="2412"/>
            <w:shd w:val="clear" w:fill="2B2D42"/>
          </w:tcPr>
          <w:p>
            <w:pPr>
              <w:jc w:val="left"/>
            </w:pPr>
            <w:r/>
            <w:r>
              <w:rPr>
                <w:b/>
                <w:color w:val="FFFFFF"/>
                <w:sz w:val="18"/>
              </w:rPr>
              <w:t>Issued By</w:t>
            </w:r>
          </w:p>
        </w:tc>
        <w:tc>
          <w:tcPr>
            <w:tcW w:type="dxa" w:w="2412"/>
            <w:shd w:val="clear" w:fill="2B2D42"/>
          </w:tcPr>
          <w:p>
            <w:pPr>
              <w:jc w:val="left"/>
            </w:pPr>
            <w:r/>
            <w:r>
              <w:rPr>
                <w:b/>
                <w:color w:val="FFFFFF"/>
                <w:sz w:val="18"/>
              </w:rPr>
              <w:t>Change Description</w:t>
            </w:r>
          </w:p>
        </w:tc>
      </w:tr>
      <w:tr>
        <w:tc>
          <w:tcPr>
            <w:tcW w:type="dxa" w:w="2412"/>
          </w:tcPr>
          <w:p>
            <w:pPr>
              <w:jc w:val="left"/>
            </w:pPr>
            <w:r/>
            <w:r>
              <w:rPr>
                <w:b w:val="0"/>
                <w:sz w:val="18"/>
              </w:rPr>
              <w:t>0.1</w:t>
            </w:r>
          </w:p>
        </w:tc>
        <w:tc>
          <w:tcPr>
            <w:tcW w:type="dxa" w:w="2412"/>
          </w:tcPr>
          <w:p>
            <w:pPr>
              <w:jc w:val="left"/>
            </w:pPr>
            <w:r/>
            <w:r>
              <w:rPr>
                <w:b w:val="0"/>
                <w:sz w:val="18"/>
              </w:rPr>
              <w:t>20 June 2026</w:t>
            </w:r>
          </w:p>
        </w:tc>
        <w:tc>
          <w:tcPr>
            <w:tcW w:type="dxa" w:w="2412"/>
          </w:tcPr>
          <w:p>
            <w:pPr>
              <w:jc w:val="left"/>
            </w:pPr>
            <w:r/>
            <w:r>
              <w:rPr>
                <w:b w:val="0"/>
                <w:sz w:val="18"/>
              </w:rPr>
              <w:t>RMW-PenStrike</w:t>
            </w:r>
          </w:p>
        </w:tc>
        <w:tc>
          <w:tcPr>
            <w:tcW w:type="dxa" w:w="2412"/>
          </w:tcPr>
          <w:p>
            <w:pPr>
              <w:jc w:val="left"/>
            </w:pPr>
            <w:r/>
            <w:r>
              <w:rPr>
                <w:b w:val="0"/>
                <w:sz w:val="18"/>
              </w:rPr>
              <w:t>Draft for internal review</w:t>
            </w:r>
          </w:p>
        </w:tc>
      </w:tr>
      <w:tr>
        <w:tc>
          <w:tcPr>
            <w:tcW w:type="dxa" w:w="2412"/>
          </w:tcPr>
          <w:p>
            <w:pPr>
              <w:jc w:val="left"/>
            </w:pPr>
            <w:r/>
            <w:r>
              <w:rPr>
                <w:b w:val="0"/>
                <w:sz w:val="18"/>
              </w:rPr>
              <w:t>1.0</w:t>
            </w:r>
          </w:p>
        </w:tc>
        <w:tc>
          <w:tcPr>
            <w:tcW w:type="dxa" w:w="2412"/>
          </w:tcPr>
          <w:p>
            <w:pPr>
              <w:jc w:val="left"/>
            </w:pPr>
            <w:r/>
            <w:r>
              <w:rPr>
                <w:b w:val="0"/>
                <w:sz w:val="18"/>
              </w:rPr>
              <w:t>20 June 2026</w:t>
            </w:r>
          </w:p>
        </w:tc>
        <w:tc>
          <w:tcPr>
            <w:tcW w:type="dxa" w:w="2412"/>
          </w:tcPr>
          <w:p>
            <w:pPr>
              <w:jc w:val="left"/>
            </w:pPr>
            <w:r/>
            <w:r>
              <w:rPr>
                <w:b w:val="0"/>
                <w:sz w:val="18"/>
              </w:rPr>
              <w:t>RMW-PenStrike</w:t>
            </w:r>
          </w:p>
        </w:tc>
        <w:tc>
          <w:tcPr>
            <w:tcW w:type="dxa" w:w="2412"/>
          </w:tcPr>
          <w:p>
            <w:pPr>
              <w:jc w:val="left"/>
            </w:pPr>
            <w:r/>
            <w:r>
              <w:rPr>
                <w:b w:val="0"/>
                <w:sz w:val="18"/>
              </w:rPr>
              <w:t>Released to client</w:t>
            </w:r>
          </w:p>
        </w:tc>
      </w:tr>
    </w:tbl>
    <w:p/>
    <w:p>
      <w:r>
        <w:rPr>
          <w:b/>
          <w:color w:val="E63946"/>
          <w:sz w:val="28"/>
        </w:rPr>
        <w:t>Table of Contents</w:t>
      </w:r>
    </w:p>
    <w:p>
      <w:r>
        <w:rPr>
          <w:sz w:val="19"/>
        </w:rPr>
        <w:t xml:space="preserve">1. Executive Summary ................................ 3  </w:t>
      </w:r>
    </w:p>
    <w:p>
      <w:r>
        <w:rPr>
          <w:sz w:val="19"/>
        </w:rPr>
        <w:t xml:space="preserve">   1.1 Assessment Summary .............................. 3  </w:t>
      </w:r>
    </w:p>
    <w:p>
      <w:r>
        <w:rPr>
          <w:sz w:val="19"/>
        </w:rPr>
        <w:t xml:space="preserve">   1.2 Strategic Recommendations ....................... 4  </w:t>
      </w:r>
    </w:p>
    <w:p>
      <w:r>
        <w:rPr>
          <w:sz w:val="19"/>
        </w:rPr>
        <w:t xml:space="preserve">2. Technical Summary ................................ 5  </w:t>
      </w:r>
    </w:p>
    <w:p>
      <w:r>
        <w:rPr>
          <w:sz w:val="19"/>
        </w:rPr>
        <w:t xml:space="preserve">   2.1 Scope ........................................... 5  </w:t>
      </w:r>
    </w:p>
    <w:p>
      <w:r>
        <w:rPr>
          <w:sz w:val="19"/>
        </w:rPr>
        <w:t xml:space="preserve">   2.2 Post Assessment Clean-up ......................... 5  </w:t>
      </w:r>
    </w:p>
    <w:p>
      <w:r>
        <w:rPr>
          <w:sz w:val="19"/>
        </w:rPr>
        <w:t xml:space="preserve">   2.3 Risk Ratings ..................................... 5  </w:t>
      </w:r>
    </w:p>
    <w:p>
      <w:r>
        <w:rPr>
          <w:sz w:val="19"/>
        </w:rPr>
        <w:t xml:space="preserve">   2.4 Findings Overview ................................ 6  </w:t>
      </w:r>
    </w:p>
    <w:p>
      <w:r>
        <w:rPr>
          <w:sz w:val="19"/>
        </w:rPr>
        <w:t xml:space="preserve">3. Technical Details ................................ 7  </w:t>
      </w:r>
    </w:p>
    <w:p>
      <w:r>
        <w:rPr>
          <w:sz w:val="19"/>
        </w:rPr>
        <w:t xml:space="preserve">   3.1 Business Logic: Negative Quantity/Price Manipulation — CRITICAL ................................ 7  </w:t>
      </w:r>
    </w:p>
    <w:p>
      <w:r>
        <w:rPr>
          <w:sz w:val="19"/>
        </w:rPr>
        <w:t xml:space="preserve">   3.2 CSRF: Password Change via GET Request — CRITICAL ................................ 8  </w:t>
      </w:r>
    </w:p>
    <w:p>
      <w:r>
        <w:rPr>
          <w:sz w:val="19"/>
        </w:rPr>
        <w:t xml:space="preserve">   3.3 Unrestricted File Upload — HIGH ................................ 9  </w:t>
      </w:r>
    </w:p>
    <w:p>
      <w:r>
        <w:rPr>
          <w:sz w:val="19"/>
        </w:rPr>
        <w:t xml:space="preserve">   3.4 Prototype Pollution — MEDIUM ................................ 10  </w:t>
      </w:r>
    </w:p>
    <w:p>
      <w:r>
        <w:rPr>
          <w:sz w:val="19"/>
        </w:rPr>
        <w:t xml:space="preserve">   3.5 CORS Misconfiguration — MEDIUM ................................ 11  </w:t>
      </w:r>
    </w:p>
    <w:p>
      <w:r>
        <w:rPr>
          <w:sz w:val="19"/>
        </w:rPr>
        <w:t xml:space="preserve">   3.6 FTP Directory Exposure — MEDIUM ................................ 12  </w:t>
      </w:r>
    </w:p>
    <w:p>
      <w:r>
        <w:rPr>
          <w:sz w:val="19"/>
        </w:rPr>
        <w:t xml:space="preserve">   3.7 Information Disclosure via Admin Configuration Endpoint — MEDIUM ................................ 13  </w:t>
      </w:r>
    </w:p>
    <w:p>
      <w:r>
        <w:rPr>
          <w:sz w:val="19"/>
        </w:rPr>
        <w:t xml:space="preserve">   3.8 Potential SSRF via Product Image URL — MEDIUM ................................ 14  </w:t>
      </w:r>
    </w:p>
    <w:p>
      <w:r>
        <w:rPr>
          <w:sz w:val="19"/>
        </w:rPr>
        <w:t xml:space="preserve">   3.9 Information Disclosure via HTTP Headers — LOW ................................ 15  </w:t>
      </w:r>
    </w:p>
    <w:p>
      <w:r>
        <w:rPr>
          <w:sz w:val="19"/>
        </w:rPr>
        <w:t xml:space="preserve">   3.10 Missing Security Headers — LOW ................................ 16  </w:t>
      </w:r>
    </w:p>
    <w:p>
      <w:r>
        <w:rPr>
          <w:sz w:val="19"/>
        </w:rPr>
        <w:t xml:space="preserve">   3.11 Robots.txt Exposure — INFO ................................ 17  </w:t>
      </w:r>
    </w:p>
    <w:p>
      <w:r>
        <w:rPr>
          <w:sz w:val="19"/>
        </w:rPr>
        <w:t xml:space="preserve">4. Appendices ................................ 18  </w:t>
      </w:r>
    </w:p>
    <w:p>
      <w:r>
        <w:rPr>
          <w:sz w:val="19"/>
        </w:rPr>
        <w:t xml:space="preserve">   4.1 Penetration Testing Methodology ................................ 18</w:t>
      </w:r>
    </w:p>
    <w:p>
      <w:r>
        <w:rPr>
          <w:b/>
          <w:color w:val="E63946"/>
          <w:sz w:val="28"/>
        </w:rPr>
        <w:t>Executive Summary</w:t>
      </w:r>
    </w:p>
    <w:p>
      <w:r>
        <w:rPr>
          <w:sz w:val="19"/>
        </w:rPr>
        <w:t>RMW-PenStrike was engaged to perform a web application penetration test against https://demo.owasp-juice.shop/ to identify security weaknesses and assess the overall risk posture. The assessment uncovered multiple critical and high-severity vulnerabilities, including unprotected business logic that allows price manipulation, a cross-site request forgery flaw leading to full account takeover, and unrestricted file upload that could result in remote code execution. Additionally, several medium-severity configuration weaknesses were identified, such as prototype pollution, overly permissive CORS, and information disclosure through an administrative endpoint. These findings collectively expose the application to significant risk of data theft, fraud, and system compromise. Immediate remediation is recommended for all critical and high-risk issues.</w:t>
      </w:r>
    </w:p>
    <w:p>
      <w:r>
        <w:rPr>
          <w:b/>
          <w:color w:val="2B2D42"/>
          <w:sz w:val="23"/>
        </w:rPr>
        <w:t>Assessment Summary</w:t>
      </w:r>
    </w:p>
    <w:p>
      <w:r>
        <w:rPr>
          <w:sz w:val="19"/>
        </w:rPr>
        <w:t xml:space="preserve">Overall risk level: </w:t>
      </w:r>
      <w:r>
        <w:rPr>
          <w:b/>
          <w:sz w:val="19"/>
        </w:rPr>
        <w:t>CRITICAL</w:t>
      </w:r>
      <w:r>
        <w:rPr>
          <w:sz w:val="19"/>
        </w:rPr>
        <w:t xml:space="preserve">  </w:t>
      </w:r>
    </w:p>
    <w:p>
      <w:r>
        <w:rPr>
          <w:sz w:val="19"/>
        </w:rPr>
        <w:t>The combination of exploitable business logic and CSRF allows attackers to compromise user sessions and manipulate financial transactions without user interaction. Combined with unrestricted file upload and information leaks, an attacker could achieve full system compromise and lateral movement within the internal network.</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2B2D42"/>
          </w:tcPr>
          <w:p>
            <w:pPr>
              <w:jc w:val="left"/>
            </w:pPr>
            <w:r/>
            <w:r>
              <w:rPr>
                <w:b/>
                <w:color w:val="FFFFFF"/>
                <w:sz w:val="18"/>
              </w:rPr>
              <w:t>Phase</w:t>
            </w:r>
          </w:p>
        </w:tc>
        <w:tc>
          <w:tcPr>
            <w:tcW w:type="dxa" w:w="1378"/>
            <w:shd w:val="clear" w:fill="2B2D42"/>
          </w:tcPr>
          <w:p>
            <w:pPr>
              <w:jc w:val="left"/>
            </w:pPr>
            <w:r/>
            <w:r>
              <w:rPr>
                <w:b/>
                <w:color w:val="FFFFFF"/>
                <w:sz w:val="18"/>
              </w:rPr>
              <w:t>Description</w:t>
            </w:r>
          </w:p>
        </w:tc>
        <w:tc>
          <w:tcPr>
            <w:tcW w:type="dxa" w:w="1378"/>
            <w:shd w:val="clear" w:fill="2B2D42"/>
          </w:tcPr>
          <w:p>
            <w:pPr>
              <w:jc w:val="left"/>
            </w:pPr>
            <w:r/>
            <w:r>
              <w:rPr>
                <w:b/>
                <w:color w:val="FFFFFF"/>
                <w:sz w:val="18"/>
              </w:rPr>
              <w:t>Critical</w:t>
            </w:r>
          </w:p>
        </w:tc>
        <w:tc>
          <w:tcPr>
            <w:tcW w:type="dxa" w:w="1378"/>
            <w:shd w:val="clear" w:fill="2B2D42"/>
          </w:tcPr>
          <w:p>
            <w:pPr>
              <w:jc w:val="left"/>
            </w:pPr>
            <w:r/>
            <w:r>
              <w:rPr>
                <w:b/>
                <w:color w:val="FFFFFF"/>
                <w:sz w:val="18"/>
              </w:rPr>
              <w:t>High</w:t>
            </w:r>
          </w:p>
        </w:tc>
        <w:tc>
          <w:tcPr>
            <w:tcW w:type="dxa" w:w="1378"/>
            <w:shd w:val="clear" w:fill="2B2D42"/>
          </w:tcPr>
          <w:p>
            <w:pPr>
              <w:jc w:val="left"/>
            </w:pPr>
            <w:r/>
            <w:r>
              <w:rPr>
                <w:b/>
                <w:color w:val="FFFFFF"/>
                <w:sz w:val="18"/>
              </w:rPr>
              <w:t>Medium</w:t>
            </w:r>
          </w:p>
        </w:tc>
        <w:tc>
          <w:tcPr>
            <w:tcW w:type="dxa" w:w="1378"/>
            <w:shd w:val="clear" w:fill="2B2D42"/>
          </w:tcPr>
          <w:p>
            <w:pPr>
              <w:jc w:val="left"/>
            </w:pPr>
            <w:r/>
            <w:r>
              <w:rPr>
                <w:b/>
                <w:color w:val="FFFFFF"/>
                <w:sz w:val="18"/>
              </w:rPr>
              <w:t>Low</w:t>
            </w:r>
          </w:p>
        </w:tc>
        <w:tc>
          <w:tcPr>
            <w:tcW w:type="dxa" w:w="1378"/>
            <w:shd w:val="clear" w:fill="2B2D42"/>
          </w:tcPr>
          <w:p>
            <w:pPr>
              <w:jc w:val="left"/>
            </w:pPr>
            <w:r/>
            <w:r>
              <w:rPr>
                <w:b/>
                <w:color w:val="FFFFFF"/>
                <w:sz w:val="18"/>
              </w:rPr>
              <w:t>Total</w:t>
            </w:r>
          </w:p>
        </w:tc>
      </w:tr>
      <w:tr>
        <w:tc>
          <w:tcPr>
            <w:tcW w:type="dxa" w:w="1378"/>
          </w:tcPr>
          <w:p>
            <w:pPr>
              <w:jc w:val="left"/>
            </w:pPr>
            <w:r/>
            <w:r>
              <w:rPr>
                <w:b w:val="0"/>
                <w:sz w:val="18"/>
              </w:rPr>
              <w:t>1</w:t>
            </w:r>
          </w:p>
        </w:tc>
        <w:tc>
          <w:tcPr>
            <w:tcW w:type="dxa" w:w="1378"/>
          </w:tcPr>
          <w:p>
            <w:pPr>
              <w:jc w:val="left"/>
            </w:pPr>
            <w:r/>
            <w:r>
              <w:rPr>
                <w:b w:val="0"/>
                <w:sz w:val="18"/>
              </w:rPr>
              <w:t>Web/API Penetration Testing</w:t>
            </w:r>
          </w:p>
        </w:tc>
        <w:tc>
          <w:tcPr>
            <w:tcW w:type="dxa" w:w="1378"/>
          </w:tcPr>
          <w:p>
            <w:pPr>
              <w:jc w:val="left"/>
            </w:pPr>
            <w:r/>
            <w:r>
              <w:rPr>
                <w:b w:val="0"/>
                <w:sz w:val="18"/>
              </w:rPr>
              <w:t>2</w:t>
            </w:r>
          </w:p>
        </w:tc>
        <w:tc>
          <w:tcPr>
            <w:tcW w:type="dxa" w:w="1378"/>
          </w:tcPr>
          <w:p>
            <w:pPr>
              <w:jc w:val="left"/>
            </w:pPr>
            <w:r/>
            <w:r>
              <w:rPr>
                <w:b w:val="0"/>
                <w:sz w:val="18"/>
              </w:rPr>
              <w:t>1</w:t>
            </w:r>
          </w:p>
        </w:tc>
        <w:tc>
          <w:tcPr>
            <w:tcW w:type="dxa" w:w="1378"/>
          </w:tcPr>
          <w:p>
            <w:pPr>
              <w:jc w:val="left"/>
            </w:pPr>
            <w:r/>
            <w:r>
              <w:rPr>
                <w:b w:val="0"/>
                <w:sz w:val="18"/>
              </w:rPr>
              <w:t>5</w:t>
            </w:r>
          </w:p>
        </w:tc>
        <w:tc>
          <w:tcPr>
            <w:tcW w:type="dxa" w:w="1378"/>
          </w:tcPr>
          <w:p>
            <w:pPr>
              <w:jc w:val="left"/>
            </w:pPr>
            <w:r/>
            <w:r>
              <w:rPr>
                <w:b w:val="0"/>
                <w:sz w:val="18"/>
              </w:rPr>
              <w:t>2</w:t>
            </w:r>
          </w:p>
        </w:tc>
        <w:tc>
          <w:tcPr>
            <w:tcW w:type="dxa" w:w="1378"/>
          </w:tcPr>
          <w:p>
            <w:pPr>
              <w:jc w:val="left"/>
            </w:pPr>
            <w:r/>
            <w:r>
              <w:rPr>
                <w:b w:val="0"/>
                <w:sz w:val="18"/>
              </w:rPr>
              <w:t>10</w:t>
            </w:r>
          </w:p>
        </w:tc>
      </w:tr>
    </w:tbl>
    <w:p/>
    <w:p>
      <w:r>
        <w:rPr>
          <w:b/>
          <w:color w:val="2B2D42"/>
          <w:sz w:val="23"/>
        </w:rPr>
        <w:t>Strategic Recommendations</w:t>
      </w:r>
    </w:p>
    <w:p>
      <w:pPr>
        <w:pStyle w:val="ListBullet"/>
      </w:pPr>
      <w:r>
        <w:rPr>
          <w:b/>
          <w:sz w:val="19"/>
        </w:rPr>
        <w:t>[CRITICAL]</w:t>
      </w:r>
      <w:r>
        <w:rPr>
          <w:sz w:val="19"/>
        </w:rPr>
        <w:t xml:space="preserve"> Fix the CSRF vulnerability on the password change endpoint by implementing anti-CSRF tokens and requiring POST requests with origin validation.</w:t>
      </w:r>
    </w:p>
    <w:p>
      <w:pPr>
        <w:pStyle w:val="ListBullet"/>
      </w:pPr>
      <w:r>
        <w:rPr>
          <w:b/>
          <w:sz w:val="19"/>
        </w:rPr>
        <w:t>[CRITICAL]</w:t>
      </w:r>
      <w:r>
        <w:rPr>
          <w:sz w:val="19"/>
        </w:rPr>
        <w:t xml:space="preserve"> Strengthen business logic validation to prevent negative quantity manipulation and other parameter tampering attacks that could affect pricing or inventory.</w:t>
      </w:r>
    </w:p>
    <w:p>
      <w:pPr>
        <w:pStyle w:val="ListBullet"/>
      </w:pPr>
      <w:r>
        <w:rPr>
          <w:b/>
          <w:sz w:val="19"/>
        </w:rPr>
        <w:t>[HIGH]</w:t>
      </w:r>
      <w:r>
        <w:rPr>
          <w:sz w:val="19"/>
        </w:rPr>
        <w:t xml:space="preserve"> Enforce server-side file type verification, restrict allowed extensions, and store uploaded files outside the web root to prevent arbitrary code execution from file uploads.</w:t>
      </w:r>
    </w:p>
    <w:p>
      <w:pPr>
        <w:pStyle w:val="ListBullet"/>
      </w:pPr>
      <w:r>
        <w:rPr>
          <w:b/>
          <w:sz w:val="19"/>
        </w:rPr>
        <w:t>[MEDIUM]</w:t>
      </w:r>
      <w:r>
        <w:rPr>
          <w:sz w:val="19"/>
        </w:rPr>
        <w:t xml:space="preserve"> Harden the CORS configuration to restrict </w:t>
      </w:r>
      <w:r>
        <w:rPr>
          <w:rFonts w:ascii="Courier New" w:hAnsi="Courier New"/>
          <w:sz w:val="19"/>
        </w:rPr>
        <w:t>Access-Control-Allow-Origin</w:t>
      </w:r>
      <w:r>
        <w:rPr>
          <w:sz w:val="19"/>
        </w:rPr>
        <w:t xml:space="preserve"> to trusted domains and avoid wildcard origins that allow cross-site data theft.</w:t>
      </w:r>
    </w:p>
    <w:p>
      <w:pPr>
        <w:pStyle w:val="ListBullet"/>
      </w:pPr>
      <w:r>
        <w:rPr>
          <w:b/>
          <w:sz w:val="19"/>
        </w:rPr>
        <w:t>[MEDIUM]</w:t>
      </w:r>
      <w:r>
        <w:rPr>
          <w:sz w:val="19"/>
        </w:rPr>
        <w:t xml:space="preserve"> Remove the publicly accessible </w:t>
      </w:r>
      <w:r>
        <w:rPr>
          <w:rFonts w:ascii="Courier New" w:hAnsi="Courier New"/>
          <w:sz w:val="19"/>
        </w:rPr>
        <w:t>/rest/admin/application-configuration</w:t>
      </w:r>
      <w:r>
        <w:rPr>
          <w:sz w:val="19"/>
        </w:rPr>
        <w:t xml:space="preserve"> endpoint and ensure all administrative interfaces require authentication and authorisation.</w:t>
      </w:r>
    </w:p>
    <w:p>
      <w:pPr>
        <w:pStyle w:val="ListBullet"/>
      </w:pPr>
      <w:r>
        <w:rPr>
          <w:b/>
          <w:sz w:val="19"/>
        </w:rPr>
        <w:t>[LOW]</w:t>
      </w:r>
      <w:r>
        <w:rPr>
          <w:sz w:val="19"/>
        </w:rPr>
        <w:t xml:space="preserve"> Implement standard security headers (CSP, HSTS, X-Content-Type-Options) and sanitise prototype pollution vectors in JSON parsing to strengthen the application’s defence-in-depth.</w:t>
      </w:r>
    </w:p>
    <w:p>
      <w:r>
        <w:rPr>
          <w:b/>
          <w:color w:val="E63946"/>
          <w:sz w:val="28"/>
        </w:rPr>
        <w:t>1. Technical Summary</w:t>
      </w:r>
    </w:p>
    <w:p>
      <w:r>
        <w:rPr>
          <w:b/>
          <w:color w:val="2B2D42"/>
          <w:sz w:val="23"/>
        </w:rPr>
        <w:t>1.1 Scope</w:t>
      </w:r>
    </w:p>
    <w:p>
      <w:r>
        <w:rPr>
          <w:sz w:val="19"/>
        </w:rPr>
        <w:t>The following target was included in this assessment:</w:t>
      </w:r>
    </w:p>
    <w:p>
      <w:pPr>
        <w:pStyle w:val="ListBullet"/>
      </w:pPr>
      <w:r>
        <w:rPr>
          <w:sz w:val="19"/>
        </w:rPr>
        <w:t>https://demo.owasp-juice.shop/ (OWASP Juice Shop)</w:t>
      </w:r>
    </w:p>
    <w:p>
      <w:r>
        <w:rPr>
          <w:sz w:val="19"/>
        </w:rPr>
        <w:t>All testing was performed against this host. No internal network or additional applications were in scope.</w:t>
      </w:r>
    </w:p>
    <w:p>
      <w:r>
        <w:rPr>
          <w:b/>
          <w:color w:val="2B2D42"/>
          <w:sz w:val="23"/>
        </w:rPr>
        <w:t>1.2 Post Assessment Clean-up</w:t>
      </w:r>
    </w:p>
    <w:p>
      <w:r>
        <w:rPr>
          <w:sz w:val="19"/>
        </w:rPr>
        <w:t xml:space="preserve">Test accounts and artefacts created during the assessment (e.g., the user </w:t>
      </w:r>
      <w:r>
        <w:rPr>
          <w:rFonts w:ascii="Courier New" w:hAnsi="Courier New"/>
          <w:sz w:val="19"/>
        </w:rPr>
        <w:t>test@test.com</w:t>
      </w:r>
      <w:r>
        <w:rPr>
          <w:sz w:val="19"/>
        </w:rPr>
        <w:t>, uploaded test files) should be disabled or removed as soon as possible. Any exploitation payloads that could affect production users should be reversed.</w:t>
      </w:r>
    </w:p>
    <w:p>
      <w:r>
        <w:rPr>
          <w:b/>
          <w:color w:val="2B2D42"/>
          <w:sz w:val="23"/>
        </w:rPr>
        <w:t>1.3 Risk Ratings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2B2D42"/>
          </w:tcPr>
          <w:p>
            <w:pPr>
              <w:jc w:val="left"/>
            </w:pPr>
            <w:r/>
            <w:r>
              <w:rPr>
                <w:b/>
                <w:color w:val="FFFFFF"/>
                <w:sz w:val="18"/>
              </w:rPr>
              <w:t>#</w:t>
            </w:r>
          </w:p>
        </w:tc>
        <w:tc>
          <w:tcPr>
            <w:tcW w:type="dxa" w:w="2412"/>
            <w:shd w:val="clear" w:fill="2B2D42"/>
          </w:tcPr>
          <w:p>
            <w:pPr>
              <w:jc w:val="left"/>
            </w:pPr>
            <w:r/>
            <w:r>
              <w:rPr>
                <w:b/>
                <w:color w:val="FFFFFF"/>
                <w:sz w:val="18"/>
              </w:rPr>
              <w:t>Risk Rating</w:t>
            </w:r>
          </w:p>
        </w:tc>
        <w:tc>
          <w:tcPr>
            <w:tcW w:type="dxa" w:w="2412"/>
            <w:shd w:val="clear" w:fill="2B2D42"/>
          </w:tcPr>
          <w:p>
            <w:pPr>
              <w:jc w:val="left"/>
            </w:pPr>
            <w:r/>
            <w:r>
              <w:rPr>
                <w:b/>
                <w:color w:val="FFFFFF"/>
                <w:sz w:val="18"/>
              </w:rPr>
              <w:t>CVSSv3 Score</w:t>
            </w:r>
          </w:p>
        </w:tc>
        <w:tc>
          <w:tcPr>
            <w:tcW w:type="dxa" w:w="2412"/>
            <w:shd w:val="clear" w:fill="2B2D42"/>
          </w:tcPr>
          <w:p>
            <w:pPr>
              <w:jc w:val="left"/>
            </w:pPr>
            <w:r/>
            <w:r>
              <w:rPr>
                <w:b/>
                <w:color w:val="FFFFFF"/>
                <w:sz w:val="18"/>
              </w:rPr>
              <w:t>Description</w:t>
            </w:r>
          </w:p>
        </w:tc>
      </w:tr>
      <w:tr>
        <w:tc>
          <w:tcPr>
            <w:tcW w:type="dxa" w:w="2412"/>
          </w:tcPr>
          <w:p>
            <w:pPr>
              <w:jc w:val="left"/>
            </w:pPr>
            <w:r/>
            <w:r>
              <w:rPr>
                <w:b w:val="0"/>
                <w:sz w:val="18"/>
              </w:rPr>
              <w:t>1</w:t>
            </w:r>
          </w:p>
        </w:tc>
        <w:tc>
          <w:tcPr>
            <w:tcW w:type="dxa" w:w="2412"/>
          </w:tcPr>
          <w:p>
            <w:pPr>
              <w:jc w:val="left"/>
            </w:pPr>
            <w:r/>
            <w:r>
              <w:rPr>
                <w:b w:val="0"/>
                <w:sz w:val="18"/>
              </w:rPr>
              <w:t>CRITICAL</w:t>
            </w:r>
          </w:p>
        </w:tc>
        <w:tc>
          <w:tcPr>
            <w:tcW w:type="dxa" w:w="2412"/>
          </w:tcPr>
          <w:p>
            <w:pPr>
              <w:jc w:val="left"/>
            </w:pPr>
            <w:r/>
            <w:r>
              <w:rPr>
                <w:b w:val="0"/>
                <w:sz w:val="18"/>
              </w:rPr>
              <w:t>9.0 - 10</w:t>
            </w:r>
          </w:p>
        </w:tc>
        <w:tc>
          <w:tcPr>
            <w:tcW w:type="dxa" w:w="2412"/>
          </w:tcPr>
          <w:p>
            <w:pPr>
              <w:jc w:val="left"/>
            </w:pPr>
            <w:r/>
            <w:r>
              <w:rPr>
                <w:b w:val="0"/>
                <w:sz w:val="18"/>
              </w:rPr>
              <w:t>Requires resolution as quickly as possible.</w:t>
            </w:r>
          </w:p>
        </w:tc>
      </w:tr>
      <w:tr>
        <w:tc>
          <w:tcPr>
            <w:tcW w:type="dxa" w:w="2412"/>
          </w:tcPr>
          <w:p>
            <w:pPr>
              <w:jc w:val="left"/>
            </w:pPr>
            <w:r/>
            <w:r>
              <w:rPr>
                <w:b w:val="0"/>
                <w:sz w:val="18"/>
              </w:rPr>
              <w:t>2</w:t>
            </w:r>
          </w:p>
        </w:tc>
        <w:tc>
          <w:tcPr>
            <w:tcW w:type="dxa" w:w="2412"/>
          </w:tcPr>
          <w:p>
            <w:pPr>
              <w:jc w:val="left"/>
            </w:pPr>
            <w:r/>
            <w:r>
              <w:rPr>
                <w:b w:val="0"/>
                <w:sz w:val="18"/>
              </w:rPr>
              <w:t>HIGH</w:t>
            </w:r>
          </w:p>
        </w:tc>
        <w:tc>
          <w:tcPr>
            <w:tcW w:type="dxa" w:w="2412"/>
          </w:tcPr>
          <w:p>
            <w:pPr>
              <w:jc w:val="left"/>
            </w:pPr>
            <w:r/>
            <w:r>
              <w:rPr>
                <w:b w:val="0"/>
                <w:sz w:val="18"/>
              </w:rPr>
              <w:t>7.0 - 8.9</w:t>
            </w:r>
          </w:p>
        </w:tc>
        <w:tc>
          <w:tcPr>
            <w:tcW w:type="dxa" w:w="2412"/>
          </w:tcPr>
          <w:p>
            <w:pPr>
              <w:jc w:val="left"/>
            </w:pPr>
            <w:r/>
            <w:r>
              <w:rPr>
                <w:b w:val="0"/>
                <w:sz w:val="18"/>
              </w:rPr>
              <w:t>Requires resolution in a short term.</w:t>
            </w:r>
          </w:p>
        </w:tc>
      </w:tr>
      <w:tr>
        <w:tc>
          <w:tcPr>
            <w:tcW w:type="dxa" w:w="2412"/>
          </w:tcPr>
          <w:p>
            <w:pPr>
              <w:jc w:val="left"/>
            </w:pPr>
            <w:r/>
            <w:r>
              <w:rPr>
                <w:b w:val="0"/>
                <w:sz w:val="18"/>
              </w:rPr>
              <w:t>3</w:t>
            </w:r>
          </w:p>
        </w:tc>
        <w:tc>
          <w:tcPr>
            <w:tcW w:type="dxa" w:w="2412"/>
          </w:tcPr>
          <w:p>
            <w:pPr>
              <w:jc w:val="left"/>
            </w:pPr>
            <w:r/>
            <w:r>
              <w:rPr>
                <w:b w:val="0"/>
                <w:sz w:val="18"/>
              </w:rPr>
              <w:t>MEDIUM</w:t>
            </w:r>
          </w:p>
        </w:tc>
        <w:tc>
          <w:tcPr>
            <w:tcW w:type="dxa" w:w="2412"/>
          </w:tcPr>
          <w:p>
            <w:pPr>
              <w:jc w:val="left"/>
            </w:pPr>
            <w:r/>
            <w:r>
              <w:rPr>
                <w:b w:val="0"/>
                <w:sz w:val="18"/>
              </w:rPr>
              <w:t>4.0 - 6.9</w:t>
            </w:r>
          </w:p>
        </w:tc>
        <w:tc>
          <w:tcPr>
            <w:tcW w:type="dxa" w:w="2412"/>
          </w:tcPr>
          <w:p>
            <w:pPr>
              <w:jc w:val="left"/>
            </w:pPr>
            <w:r/>
            <w:r>
              <w:rPr>
                <w:b w:val="0"/>
                <w:sz w:val="18"/>
              </w:rPr>
              <w:t>Should be resolved throughout ongoing maintenance.</w:t>
            </w:r>
          </w:p>
        </w:tc>
      </w:tr>
      <w:tr>
        <w:tc>
          <w:tcPr>
            <w:tcW w:type="dxa" w:w="2412"/>
          </w:tcPr>
          <w:p>
            <w:pPr>
              <w:jc w:val="left"/>
            </w:pPr>
            <w:r/>
            <w:r>
              <w:rPr>
                <w:b w:val="0"/>
                <w:sz w:val="18"/>
              </w:rPr>
              <w:t>4</w:t>
            </w:r>
          </w:p>
        </w:tc>
        <w:tc>
          <w:tcPr>
            <w:tcW w:type="dxa" w:w="2412"/>
          </w:tcPr>
          <w:p>
            <w:pPr>
              <w:jc w:val="left"/>
            </w:pPr>
            <w:r/>
            <w:r>
              <w:rPr>
                <w:b w:val="0"/>
                <w:sz w:val="18"/>
              </w:rPr>
              <w:t>LOW</w:t>
            </w:r>
          </w:p>
        </w:tc>
        <w:tc>
          <w:tcPr>
            <w:tcW w:type="dxa" w:w="2412"/>
          </w:tcPr>
          <w:p>
            <w:pPr>
              <w:jc w:val="left"/>
            </w:pPr>
            <w:r/>
            <w:r>
              <w:rPr>
                <w:b w:val="0"/>
                <w:sz w:val="18"/>
              </w:rPr>
              <w:t>1.0 - 3.9</w:t>
            </w:r>
          </w:p>
        </w:tc>
        <w:tc>
          <w:tcPr>
            <w:tcW w:type="dxa" w:w="2412"/>
          </w:tcPr>
          <w:p>
            <w:pPr>
              <w:jc w:val="left"/>
            </w:pPr>
            <w:r/>
            <w:r>
              <w:rPr>
                <w:b w:val="0"/>
                <w:sz w:val="18"/>
              </w:rPr>
              <w:t>Should be addressed as part of routine maintenance.</w:t>
            </w:r>
          </w:p>
        </w:tc>
      </w:tr>
      <w:tr>
        <w:tc>
          <w:tcPr>
            <w:tcW w:type="dxa" w:w="2412"/>
          </w:tcPr>
          <w:p>
            <w:pPr>
              <w:jc w:val="left"/>
            </w:pPr>
            <w:r/>
            <w:r>
              <w:rPr>
                <w:b w:val="0"/>
                <w:sz w:val="18"/>
              </w:rPr>
              <w:t>5</w:t>
            </w:r>
          </w:p>
        </w:tc>
        <w:tc>
          <w:tcPr>
            <w:tcW w:type="dxa" w:w="2412"/>
          </w:tcPr>
          <w:p>
            <w:pPr>
              <w:jc w:val="left"/>
            </w:pPr>
            <w:r/>
            <w:r>
              <w:rPr>
                <w:b w:val="0"/>
                <w:sz w:val="18"/>
              </w:rPr>
              <w:t>INFO</w:t>
            </w:r>
          </w:p>
        </w:tc>
        <w:tc>
          <w:tcPr>
            <w:tcW w:type="dxa" w:w="2412"/>
          </w:tcPr>
          <w:p>
            <w:pPr>
              <w:jc w:val="left"/>
            </w:pPr>
            <w:r/>
            <w:r>
              <w:rPr>
                <w:b w:val="0"/>
                <w:sz w:val="18"/>
              </w:rPr>
              <w:t>0 - 0.9</w:t>
            </w:r>
          </w:p>
        </w:tc>
        <w:tc>
          <w:tcPr>
            <w:tcW w:type="dxa" w:w="2412"/>
          </w:tcPr>
          <w:p>
            <w:pPr>
              <w:jc w:val="left"/>
            </w:pPr>
            <w:r/>
            <w:r>
              <w:rPr>
                <w:b w:val="0"/>
                <w:sz w:val="18"/>
              </w:rPr>
              <w:t>Reported for information only.</w:t>
            </w:r>
          </w:p>
        </w:tc>
      </w:tr>
    </w:tbl>
    <w:p/>
    <w:p>
      <w:r>
        <w:rPr>
          <w:b/>
          <w:color w:val="2B2D42"/>
          <w:sz w:val="23"/>
        </w:rPr>
        <w:t>1.4 Findings Overview</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B2D42"/>
          </w:tcPr>
          <w:p>
            <w:pPr>
              <w:jc w:val="left"/>
            </w:pPr>
            <w:r/>
            <w:r>
              <w:rPr>
                <w:b/>
                <w:color w:val="FFFFFF"/>
                <w:sz w:val="18"/>
              </w:rPr>
              <w:t>Ref</w:t>
            </w:r>
          </w:p>
        </w:tc>
        <w:tc>
          <w:tcPr>
            <w:tcW w:type="dxa" w:w="3216"/>
            <w:shd w:val="clear" w:fill="2B2D42"/>
          </w:tcPr>
          <w:p>
            <w:pPr>
              <w:jc w:val="left"/>
            </w:pPr>
            <w:r/>
            <w:r>
              <w:rPr>
                <w:b/>
                <w:color w:val="FFFFFF"/>
                <w:sz w:val="18"/>
              </w:rPr>
              <w:t>Description</w:t>
            </w:r>
          </w:p>
        </w:tc>
        <w:tc>
          <w:tcPr>
            <w:tcW w:type="dxa" w:w="3216"/>
            <w:shd w:val="clear" w:fill="2B2D42"/>
          </w:tcPr>
          <w:p>
            <w:pPr>
              <w:jc w:val="left"/>
            </w:pPr>
            <w:r/>
            <w:r>
              <w:rPr>
                <w:b/>
                <w:color w:val="FFFFFF"/>
                <w:sz w:val="18"/>
              </w:rPr>
              <w:t>Risk</w:t>
            </w:r>
          </w:p>
        </w:tc>
      </w:tr>
      <w:tr>
        <w:tc>
          <w:tcPr>
            <w:tcW w:type="dxa" w:w="3216"/>
          </w:tcPr>
          <w:p>
            <w:pPr>
              <w:jc w:val="left"/>
            </w:pPr>
            <w:r/>
            <w:r>
              <w:rPr>
                <w:b w:val="0"/>
                <w:sz w:val="18"/>
              </w:rPr>
              <w:t>PT-1-1</w:t>
            </w:r>
          </w:p>
        </w:tc>
        <w:tc>
          <w:tcPr>
            <w:tcW w:type="dxa" w:w="3216"/>
          </w:tcPr>
          <w:p>
            <w:pPr>
              <w:jc w:val="left"/>
            </w:pPr>
            <w:r/>
            <w:r>
              <w:rPr>
                <w:b w:val="0"/>
                <w:sz w:val="18"/>
              </w:rPr>
              <w:t>Business Logic: Negative Quantity/Price Manipulation</w:t>
            </w:r>
          </w:p>
        </w:tc>
        <w:tc>
          <w:tcPr>
            <w:tcW w:type="dxa" w:w="3216"/>
            <w:shd w:val="clear" w:fill="E63946"/>
          </w:tcPr>
          <w:p>
            <w:pPr>
              <w:jc w:val="center"/>
            </w:pPr>
            <w:r/>
            <w:r>
              <w:rPr>
                <w:b/>
                <w:color w:val="FFFFFF"/>
                <w:sz w:val="18"/>
              </w:rPr>
              <w:t>CRITICAL</w:t>
            </w:r>
          </w:p>
        </w:tc>
      </w:tr>
      <w:tr>
        <w:tc>
          <w:tcPr>
            <w:tcW w:type="dxa" w:w="3216"/>
          </w:tcPr>
          <w:p>
            <w:pPr>
              <w:jc w:val="left"/>
            </w:pPr>
            <w:r/>
            <w:r>
              <w:rPr>
                <w:b w:val="0"/>
                <w:sz w:val="18"/>
              </w:rPr>
              <w:t>PT-1-2</w:t>
            </w:r>
          </w:p>
        </w:tc>
        <w:tc>
          <w:tcPr>
            <w:tcW w:type="dxa" w:w="3216"/>
          </w:tcPr>
          <w:p>
            <w:pPr>
              <w:jc w:val="left"/>
            </w:pPr>
            <w:r/>
            <w:r>
              <w:rPr>
                <w:b w:val="0"/>
                <w:sz w:val="18"/>
              </w:rPr>
              <w:t>CSRF: Password Change via GET Request</w:t>
            </w:r>
          </w:p>
        </w:tc>
        <w:tc>
          <w:tcPr>
            <w:tcW w:type="dxa" w:w="3216"/>
            <w:shd w:val="clear" w:fill="E63946"/>
          </w:tcPr>
          <w:p>
            <w:pPr>
              <w:jc w:val="center"/>
            </w:pPr>
            <w:r/>
            <w:r>
              <w:rPr>
                <w:b/>
                <w:color w:val="FFFFFF"/>
                <w:sz w:val="18"/>
              </w:rPr>
              <w:t>CRITICAL</w:t>
            </w:r>
          </w:p>
        </w:tc>
      </w:tr>
      <w:tr>
        <w:tc>
          <w:tcPr>
            <w:tcW w:type="dxa" w:w="3216"/>
          </w:tcPr>
          <w:p>
            <w:pPr>
              <w:jc w:val="left"/>
            </w:pPr>
            <w:r/>
            <w:r>
              <w:rPr>
                <w:b w:val="0"/>
                <w:sz w:val="18"/>
              </w:rPr>
              <w:t>PT-1-3</w:t>
            </w:r>
          </w:p>
        </w:tc>
        <w:tc>
          <w:tcPr>
            <w:tcW w:type="dxa" w:w="3216"/>
          </w:tcPr>
          <w:p>
            <w:pPr>
              <w:jc w:val="left"/>
            </w:pPr>
            <w:r/>
            <w:r>
              <w:rPr>
                <w:b w:val="0"/>
                <w:sz w:val="18"/>
              </w:rPr>
              <w:t>Unrestricted File Upload</w:t>
            </w:r>
          </w:p>
        </w:tc>
        <w:tc>
          <w:tcPr>
            <w:tcW w:type="dxa" w:w="3216"/>
            <w:shd w:val="clear" w:fill="F4845F"/>
          </w:tcPr>
          <w:p>
            <w:pPr>
              <w:jc w:val="center"/>
            </w:pPr>
            <w:r/>
            <w:r>
              <w:rPr>
                <w:b/>
                <w:color w:val="FFFFFF"/>
                <w:sz w:val="18"/>
              </w:rPr>
              <w:t>HIGH</w:t>
            </w:r>
          </w:p>
        </w:tc>
      </w:tr>
      <w:tr>
        <w:tc>
          <w:tcPr>
            <w:tcW w:type="dxa" w:w="3216"/>
          </w:tcPr>
          <w:p>
            <w:pPr>
              <w:jc w:val="left"/>
            </w:pPr>
            <w:r/>
            <w:r>
              <w:rPr>
                <w:b w:val="0"/>
                <w:sz w:val="18"/>
              </w:rPr>
              <w:t>PT-1-4</w:t>
            </w:r>
          </w:p>
        </w:tc>
        <w:tc>
          <w:tcPr>
            <w:tcW w:type="dxa" w:w="3216"/>
          </w:tcPr>
          <w:p>
            <w:pPr>
              <w:jc w:val="left"/>
            </w:pPr>
            <w:r/>
            <w:r>
              <w:rPr>
                <w:b w:val="0"/>
                <w:sz w:val="18"/>
              </w:rPr>
              <w:t>Prototype Pollution</w:t>
            </w:r>
          </w:p>
        </w:tc>
        <w:tc>
          <w:tcPr>
            <w:tcW w:type="dxa" w:w="3216"/>
            <w:shd w:val="clear" w:fill="F4D35E"/>
          </w:tcPr>
          <w:p>
            <w:pPr>
              <w:jc w:val="center"/>
            </w:pPr>
            <w:r/>
            <w:r>
              <w:rPr>
                <w:b/>
                <w:color w:val="2B2D42"/>
                <w:sz w:val="18"/>
              </w:rPr>
              <w:t>MEDIUM</w:t>
            </w:r>
          </w:p>
        </w:tc>
      </w:tr>
      <w:tr>
        <w:tc>
          <w:tcPr>
            <w:tcW w:type="dxa" w:w="3216"/>
          </w:tcPr>
          <w:p>
            <w:pPr>
              <w:jc w:val="left"/>
            </w:pPr>
            <w:r/>
            <w:r>
              <w:rPr>
                <w:b w:val="0"/>
                <w:sz w:val="18"/>
              </w:rPr>
              <w:t>PT-1-5</w:t>
            </w:r>
          </w:p>
        </w:tc>
        <w:tc>
          <w:tcPr>
            <w:tcW w:type="dxa" w:w="3216"/>
          </w:tcPr>
          <w:p>
            <w:pPr>
              <w:jc w:val="left"/>
            </w:pPr>
            <w:r/>
            <w:r>
              <w:rPr>
                <w:b w:val="0"/>
                <w:sz w:val="18"/>
              </w:rPr>
              <w:t>CORS Misconfiguration</w:t>
            </w:r>
          </w:p>
        </w:tc>
        <w:tc>
          <w:tcPr>
            <w:tcW w:type="dxa" w:w="3216"/>
            <w:shd w:val="clear" w:fill="F4D35E"/>
          </w:tcPr>
          <w:p>
            <w:pPr>
              <w:jc w:val="center"/>
            </w:pPr>
            <w:r/>
            <w:r>
              <w:rPr>
                <w:b/>
                <w:color w:val="2B2D42"/>
                <w:sz w:val="18"/>
              </w:rPr>
              <w:t>MEDIUM</w:t>
            </w:r>
          </w:p>
        </w:tc>
      </w:tr>
      <w:tr>
        <w:tc>
          <w:tcPr>
            <w:tcW w:type="dxa" w:w="3216"/>
          </w:tcPr>
          <w:p>
            <w:pPr>
              <w:jc w:val="left"/>
            </w:pPr>
            <w:r/>
            <w:r>
              <w:rPr>
                <w:b w:val="0"/>
                <w:sz w:val="18"/>
              </w:rPr>
              <w:t>PT-1-6</w:t>
            </w:r>
          </w:p>
        </w:tc>
        <w:tc>
          <w:tcPr>
            <w:tcW w:type="dxa" w:w="3216"/>
          </w:tcPr>
          <w:p>
            <w:pPr>
              <w:jc w:val="left"/>
            </w:pPr>
            <w:r/>
            <w:r>
              <w:rPr>
                <w:b w:val="0"/>
                <w:sz w:val="18"/>
              </w:rPr>
              <w:t>FTP Directory Exposure</w:t>
            </w:r>
          </w:p>
        </w:tc>
        <w:tc>
          <w:tcPr>
            <w:tcW w:type="dxa" w:w="3216"/>
            <w:shd w:val="clear" w:fill="F4D35E"/>
          </w:tcPr>
          <w:p>
            <w:pPr>
              <w:jc w:val="center"/>
            </w:pPr>
            <w:r/>
            <w:r>
              <w:rPr>
                <w:b/>
                <w:color w:val="2B2D42"/>
                <w:sz w:val="18"/>
              </w:rPr>
              <w:t>MEDIUM</w:t>
            </w:r>
          </w:p>
        </w:tc>
      </w:tr>
      <w:tr>
        <w:tc>
          <w:tcPr>
            <w:tcW w:type="dxa" w:w="3216"/>
          </w:tcPr>
          <w:p>
            <w:pPr>
              <w:jc w:val="left"/>
            </w:pPr>
            <w:r/>
            <w:r>
              <w:rPr>
                <w:b w:val="0"/>
                <w:sz w:val="18"/>
              </w:rPr>
              <w:t>PT-1-7</w:t>
            </w:r>
          </w:p>
        </w:tc>
        <w:tc>
          <w:tcPr>
            <w:tcW w:type="dxa" w:w="3216"/>
          </w:tcPr>
          <w:p>
            <w:pPr>
              <w:jc w:val="left"/>
            </w:pPr>
            <w:r/>
            <w:r>
              <w:rPr>
                <w:b w:val="0"/>
                <w:sz w:val="18"/>
              </w:rPr>
              <w:t>Information Disclosure via Admin Configuration Endpoint</w:t>
            </w:r>
          </w:p>
        </w:tc>
        <w:tc>
          <w:tcPr>
            <w:tcW w:type="dxa" w:w="3216"/>
            <w:shd w:val="clear" w:fill="F4D35E"/>
          </w:tcPr>
          <w:p>
            <w:pPr>
              <w:jc w:val="center"/>
            </w:pPr>
            <w:r/>
            <w:r>
              <w:rPr>
                <w:b/>
                <w:color w:val="2B2D42"/>
                <w:sz w:val="18"/>
              </w:rPr>
              <w:t>MEDIUM</w:t>
            </w:r>
          </w:p>
        </w:tc>
      </w:tr>
      <w:tr>
        <w:tc>
          <w:tcPr>
            <w:tcW w:type="dxa" w:w="3216"/>
          </w:tcPr>
          <w:p>
            <w:pPr>
              <w:jc w:val="left"/>
            </w:pPr>
            <w:r/>
            <w:r>
              <w:rPr>
                <w:b w:val="0"/>
                <w:sz w:val="18"/>
              </w:rPr>
              <w:t>PT-1-8</w:t>
            </w:r>
          </w:p>
        </w:tc>
        <w:tc>
          <w:tcPr>
            <w:tcW w:type="dxa" w:w="3216"/>
          </w:tcPr>
          <w:p>
            <w:pPr>
              <w:jc w:val="left"/>
            </w:pPr>
            <w:r/>
            <w:r>
              <w:rPr>
                <w:b w:val="0"/>
                <w:sz w:val="18"/>
              </w:rPr>
              <w:t>Potential SSRF via Product Image URL</w:t>
            </w:r>
          </w:p>
        </w:tc>
        <w:tc>
          <w:tcPr>
            <w:tcW w:type="dxa" w:w="3216"/>
            <w:shd w:val="clear" w:fill="F4D35E"/>
          </w:tcPr>
          <w:p>
            <w:pPr>
              <w:jc w:val="center"/>
            </w:pPr>
            <w:r/>
            <w:r>
              <w:rPr>
                <w:b/>
                <w:color w:val="2B2D42"/>
                <w:sz w:val="18"/>
              </w:rPr>
              <w:t>MEDIUM</w:t>
            </w:r>
          </w:p>
        </w:tc>
      </w:tr>
      <w:tr>
        <w:tc>
          <w:tcPr>
            <w:tcW w:type="dxa" w:w="3216"/>
          </w:tcPr>
          <w:p>
            <w:pPr>
              <w:jc w:val="left"/>
            </w:pPr>
            <w:r/>
            <w:r>
              <w:rPr>
                <w:b w:val="0"/>
                <w:sz w:val="18"/>
              </w:rPr>
              <w:t>PT-1-9</w:t>
            </w:r>
          </w:p>
        </w:tc>
        <w:tc>
          <w:tcPr>
            <w:tcW w:type="dxa" w:w="3216"/>
          </w:tcPr>
          <w:p>
            <w:pPr>
              <w:jc w:val="left"/>
            </w:pPr>
            <w:r/>
            <w:r>
              <w:rPr>
                <w:b w:val="0"/>
                <w:sz w:val="18"/>
              </w:rPr>
              <w:t>Information Disclosure via HTTP Headers</w:t>
            </w:r>
          </w:p>
        </w:tc>
        <w:tc>
          <w:tcPr>
            <w:tcW w:type="dxa" w:w="3216"/>
            <w:shd w:val="clear" w:fill="06D6A0"/>
          </w:tcPr>
          <w:p>
            <w:pPr>
              <w:jc w:val="center"/>
            </w:pPr>
            <w:r/>
            <w:r>
              <w:rPr>
                <w:b/>
                <w:color w:val="2B2D42"/>
                <w:sz w:val="18"/>
              </w:rPr>
              <w:t>LOW</w:t>
            </w:r>
          </w:p>
        </w:tc>
      </w:tr>
      <w:tr>
        <w:tc>
          <w:tcPr>
            <w:tcW w:type="dxa" w:w="3216"/>
          </w:tcPr>
          <w:p>
            <w:pPr>
              <w:jc w:val="left"/>
            </w:pPr>
            <w:r/>
            <w:r>
              <w:rPr>
                <w:b w:val="0"/>
                <w:sz w:val="18"/>
              </w:rPr>
              <w:t>PT-1-10</w:t>
            </w:r>
          </w:p>
        </w:tc>
        <w:tc>
          <w:tcPr>
            <w:tcW w:type="dxa" w:w="3216"/>
          </w:tcPr>
          <w:p>
            <w:pPr>
              <w:jc w:val="left"/>
            </w:pPr>
            <w:r/>
            <w:r>
              <w:rPr>
                <w:b w:val="0"/>
                <w:sz w:val="18"/>
              </w:rPr>
              <w:t>Missing Security Headers</w:t>
            </w:r>
          </w:p>
        </w:tc>
        <w:tc>
          <w:tcPr>
            <w:tcW w:type="dxa" w:w="3216"/>
            <w:shd w:val="clear" w:fill="06D6A0"/>
          </w:tcPr>
          <w:p>
            <w:pPr>
              <w:jc w:val="center"/>
            </w:pPr>
            <w:r/>
            <w:r>
              <w:rPr>
                <w:b/>
                <w:color w:val="2B2D42"/>
                <w:sz w:val="18"/>
              </w:rPr>
              <w:t>LOW</w:t>
            </w:r>
          </w:p>
        </w:tc>
      </w:tr>
      <w:tr>
        <w:tc>
          <w:tcPr>
            <w:tcW w:type="dxa" w:w="3216"/>
          </w:tcPr>
          <w:p>
            <w:pPr>
              <w:jc w:val="left"/>
            </w:pPr>
            <w:r/>
            <w:r>
              <w:rPr>
                <w:b w:val="0"/>
                <w:sz w:val="18"/>
              </w:rPr>
              <w:t>PT-1-11</w:t>
            </w:r>
          </w:p>
        </w:tc>
        <w:tc>
          <w:tcPr>
            <w:tcW w:type="dxa" w:w="3216"/>
          </w:tcPr>
          <w:p>
            <w:pPr>
              <w:jc w:val="left"/>
            </w:pPr>
            <w:r/>
            <w:r>
              <w:rPr>
                <w:b w:val="0"/>
                <w:sz w:val="18"/>
              </w:rPr>
              <w:t>Robots.txt Exposure</w:t>
            </w:r>
          </w:p>
        </w:tc>
        <w:tc>
          <w:tcPr>
            <w:tcW w:type="dxa" w:w="3216"/>
            <w:shd w:val="clear" w:fill="118AB2"/>
          </w:tcPr>
          <w:p>
            <w:pPr>
              <w:jc w:val="center"/>
            </w:pPr>
            <w:r/>
            <w:r>
              <w:rPr>
                <w:b/>
                <w:color w:val="FFFFFF"/>
                <w:sz w:val="18"/>
              </w:rPr>
              <w:t>INFO</w:t>
            </w:r>
          </w:p>
        </w:tc>
      </w:tr>
    </w:tbl>
    <w:p/>
    <w:p>
      <w:r>
        <w:rPr>
          <w:b/>
          <w:color w:val="E63946"/>
          <w:sz w:val="28"/>
        </w:rPr>
        <w:t>2. Technical Details</w:t>
      </w:r>
    </w:p>
    <w:p>
      <w:r>
        <w:rPr>
          <w:b/>
          <w:color w:val="2B2D42"/>
          <w:sz w:val="23"/>
        </w:rPr>
        <w:t>2.1 Business Logic: Negative Quantity/Price Manipulation — CRITICAL</w:t>
      </w:r>
    </w:p>
    <w:p>
      <w:r>
        <w:rPr>
          <w:b/>
          <w:sz w:val="19"/>
        </w:rPr>
        <w:t>Ref ID:</w:t>
      </w:r>
      <w:r>
        <w:rPr>
          <w:sz w:val="19"/>
        </w:rPr>
        <w:t xml:space="preserve"> PT-1-1</w:t>
      </w:r>
    </w:p>
    <w:p>
      <w:r>
        <w:rPr>
          <w:sz w:val="19"/>
        </w:rPr>
        <w:t>The application fails to validate that product quantities cannot be negative. An authenticated attacker can manipulate the basket functionality to add a product with a negative quantity, effectively altering the total basket price. This could allow an attacker to obtain items for free or even receive a credit balance, leading to financial loss for the business.</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https://demo.owasp-juice.shop//rest/basket/7</w:t>
            </w:r>
          </w:p>
        </w:tc>
      </w:tr>
      <w:tr>
        <w:tc>
          <w:tcPr>
            <w:tcW w:type="dxa" w:w="4824"/>
          </w:tcPr>
          <w:p>
            <w:pPr>
              <w:jc w:val="left"/>
            </w:pPr>
            <w:r/>
            <w:r>
              <w:rPr>
                <w:b w:val="0"/>
                <w:sz w:val="18"/>
              </w:rPr>
              <w:t>Parameter(s)</w:t>
            </w:r>
          </w:p>
        </w:tc>
        <w:tc>
          <w:tcPr>
            <w:tcW w:type="dxa" w:w="4824"/>
          </w:tcPr>
          <w:p>
            <w:pPr>
              <w:jc w:val="left"/>
            </w:pPr>
            <w:r/>
            <w:r>
              <w:rPr>
                <w:b w:val="0"/>
                <w:sz w:val="18"/>
              </w:rPr>
              <w:t>Quantity (in basket item)</w:t>
            </w:r>
          </w:p>
        </w:tc>
      </w:tr>
      <w:tr>
        <w:tc>
          <w:tcPr>
            <w:tcW w:type="dxa" w:w="4824"/>
          </w:tcPr>
          <w:p>
            <w:pPr>
              <w:jc w:val="left"/>
            </w:pPr>
            <w:r/>
            <w:r>
              <w:rPr>
                <w:b w:val="0"/>
                <w:sz w:val="18"/>
              </w:rPr>
              <w:t>Attack Vectors</w:t>
            </w:r>
          </w:p>
        </w:tc>
        <w:tc>
          <w:tcPr>
            <w:tcW w:type="dxa" w:w="4824"/>
          </w:tcPr>
          <w:p>
            <w:pPr>
              <w:jc w:val="left"/>
            </w:pPr>
            <w:r/>
            <w:r>
              <w:rPr>
                <w:b w:val="0"/>
                <w:sz w:val="18"/>
              </w:rPr>
              <w:t>Manipulated POST/PUT request to basket endpoint with negative quantity value</w:t>
            </w:r>
          </w:p>
        </w:tc>
      </w:tr>
      <w:tr>
        <w:tc>
          <w:tcPr>
            <w:tcW w:type="dxa" w:w="4824"/>
          </w:tcPr>
          <w:p>
            <w:pPr>
              <w:jc w:val="left"/>
            </w:pPr>
            <w:r/>
            <w:r>
              <w:rPr>
                <w:b w:val="0"/>
                <w:sz w:val="18"/>
              </w:rPr>
              <w:t>References</w:t>
            </w:r>
          </w:p>
        </w:tc>
        <w:tc>
          <w:tcPr>
            <w:tcW w:type="dxa" w:w="4824"/>
          </w:tcPr>
          <w:p>
            <w:pPr>
              <w:jc w:val="left"/>
            </w:pPr>
            <w:r/>
            <w:r>
              <w:rPr>
                <w:b w:val="0"/>
                <w:sz w:val="18"/>
              </w:rPr>
              <w:t>https://cwe.mitre.org/data/definitions/20.html</w:t>
            </w:r>
          </w:p>
        </w:tc>
      </w:tr>
    </w:tbl>
    <w:p/>
    <w:p>
      <w:r>
        <w:rPr>
          <w:b/>
          <w:sz w:val="19"/>
        </w:rPr>
        <w:t>Evidence</w:t>
      </w:r>
      <w:r>
        <w:rPr>
          <w:sz w:val="19"/>
        </w:rPr>
        <w:t xml:space="preserve">  </w:t>
      </w:r>
    </w:p>
    <w:p>
      <w:r>
        <w:rPr>
          <w:sz w:val="19"/>
        </w:rPr>
        <w:t>The attacker registered a test user (</w:t>
      </w:r>
      <w:r>
        <w:rPr>
          <w:rFonts w:ascii="Courier New" w:hAnsi="Courier New"/>
          <w:sz w:val="19"/>
        </w:rPr>
        <w:t>test@test.com</w:t>
      </w:r>
      <w:r>
        <w:rPr>
          <w:sz w:val="19"/>
        </w:rPr>
        <w:t xml:space="preserve"> / </w:t>
      </w:r>
      <w:r>
        <w:rPr>
          <w:rFonts w:ascii="Courier New" w:hAnsi="Courier New"/>
          <w:sz w:val="19"/>
        </w:rPr>
        <w:t>test123</w:t>
      </w:r>
      <w:r>
        <w:rPr>
          <w:sz w:val="19"/>
        </w:rPr>
        <w:t xml:space="preserve">) and obtained a JWT </w:t>
      </w:r>
      <w:r>
        <w:rPr>
          <w:rFonts w:ascii="Courier New" w:hAnsi="Courier New"/>
          <w:sz w:val="19"/>
        </w:rPr>
        <w:t>eyJ0eXAiOiJKV1QiLCJhbGciOiJSUzI1NiJ9.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.XK1-uB_o0mUVP86sei8YNp0NYmZDzdvNLvvYBTvy6M_vpa1vPlnY0KFeLWVJy4pvMgrs4I6h7JVuB0tvv-Tvrkd-9jVptCqhuQI_PV4avabXjmh-bcFwdvRi4AvIF6XpYB2CUclZwOY3KaJRw1j2oq3nFIpFvlPUKgjgDsP7XrY</w:t>
      </w:r>
      <w:r>
        <w:rPr>
          <w:sz w:val="19"/>
        </w:rPr>
        <w:t>. A product (ID 1, Apple Juice, $1.99) was added to basket 7, and the quantity was set to a negative integer. The application processed the request and adjusted the basket total accordingly.</w:t>
      </w:r>
    </w:p>
    <w:p>
      <w:pPr>
        <w:shd w:val="clear" w:fill="F2F2F2"/>
      </w:pPr>
      <w:r>
        <w:rPr>
          <w:rFonts w:ascii="Courier New" w:hAnsi="Courier New"/>
          <w:sz w:val="16"/>
        </w:rPr>
        <w:t>POST https://demo.owasp-juice.shop//rest/basket/7/items</w:t>
        <w:br/>
        <w:t>Authorization: Bearer eyJ0eXAiOiJKV1QiLCJhbGciOiJSUzI1NiJ9.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.XK1-uB_o0mUVP86sei8YNp0NYmZDzdvNLvvYBTvy6M_vpa1vPlnY0KFeLWVJy4pvMgrs4I6h7JVuB0tvv-Tvrkd-9jVptCqhuQI_PV4avabXjmh-bcFwdvRi4AvIF6XpYB2CUclZwOY3KaJRw1j2oq3nFIpFvlPUKgjgDsP7XrY</w:t>
        <w:br/>
        <w:t>{"ProductId":1,"quantity":-10}</w:t>
      </w:r>
    </w:p>
    <w:p>
      <w:r>
        <w:rPr>
          <w:b/>
          <w:sz w:val="19"/>
        </w:rPr>
        <w:t>Remediation Guidance</w:t>
      </w:r>
    </w:p>
    <w:p>
      <w:pPr>
        <w:pStyle w:val="ListBullet"/>
      </w:pPr>
      <w:r>
        <w:rPr>
          <w:sz w:val="19"/>
        </w:rPr>
        <w:t>Implement strict server-side validation that rejects negative quantities or any value below zero for all basket and order operations.</w:t>
      </w:r>
    </w:p>
    <w:p>
      <w:pPr>
        <w:pStyle w:val="ListBullet"/>
      </w:pPr>
      <w:r>
        <w:rPr>
          <w:sz w:val="19"/>
        </w:rPr>
        <w:t>Use unsigned numeric data types and enforce a minimum of 1 for orderable items.</w:t>
      </w:r>
    </w:p>
    <w:p>
      <w:pPr>
        <w:pStyle w:val="ListBullet"/>
      </w:pPr>
      <w:r>
        <w:rPr>
          <w:sz w:val="19"/>
        </w:rPr>
        <w:t>Add integrity checks for basket totals to ensure they are consistent with the sum of individual item prices.</w:t>
      </w:r>
    </w:p>
    <w:p>
      <w:r>
        <w:rPr>
          <w:b/>
          <w:color w:val="2B2D42"/>
          <w:sz w:val="23"/>
        </w:rPr>
        <w:t>2.2 CSRF: Password Change via GET Request — CRITICAL</w:t>
      </w:r>
    </w:p>
    <w:p>
      <w:r>
        <w:rPr>
          <w:b/>
          <w:sz w:val="19"/>
        </w:rPr>
        <w:t>Ref ID:</w:t>
      </w:r>
      <w:r>
        <w:rPr>
          <w:sz w:val="19"/>
        </w:rPr>
        <w:t xml:space="preserve"> PT-1-2</w:t>
      </w:r>
    </w:p>
    <w:p>
      <w:r>
        <w:rPr>
          <w:sz w:val="19"/>
        </w:rPr>
        <w:t>The password change endpoint accepts GET requests without any anti-CSRF token, origin header verification, or referrer check. An attacker can craft a malicious link or embed an image tag that, when visited by an authenticated user, silently changes their password to a value chosen by the attacker. This leads to account takeover and potentially full compromise of the application for that user (including administrative accounts).</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https://demo.owasp-juice.shop//rest/user/change-password</w:t>
            </w:r>
          </w:p>
        </w:tc>
      </w:tr>
      <w:tr>
        <w:tc>
          <w:tcPr>
            <w:tcW w:type="dxa" w:w="4824"/>
          </w:tcPr>
          <w:p>
            <w:pPr>
              <w:jc w:val="left"/>
            </w:pPr>
            <w:r/>
            <w:r>
              <w:rPr>
                <w:b w:val="0"/>
                <w:sz w:val="18"/>
              </w:rPr>
              <w:t>Parameter(s)</w:t>
            </w:r>
          </w:p>
        </w:tc>
        <w:tc>
          <w:tcPr>
            <w:tcW w:type="dxa" w:w="4824"/>
          </w:tcPr>
          <w:p>
            <w:pPr>
              <w:jc w:val="left"/>
            </w:pPr>
            <w:r/>
            <w:r>
              <w:rPr>
                <w:b w:val="0"/>
                <w:sz w:val="18"/>
              </w:rPr>
              <w:t>current, new, repeat (all query string)</w:t>
            </w:r>
          </w:p>
        </w:tc>
      </w:tr>
      <w:tr>
        <w:tc>
          <w:tcPr>
            <w:tcW w:type="dxa" w:w="4824"/>
          </w:tcPr>
          <w:p>
            <w:pPr>
              <w:jc w:val="left"/>
            </w:pPr>
            <w:r/>
            <w:r>
              <w:rPr>
                <w:b w:val="0"/>
                <w:sz w:val="18"/>
              </w:rPr>
              <w:t>Attack Vectors</w:t>
            </w:r>
          </w:p>
        </w:tc>
        <w:tc>
          <w:tcPr>
            <w:tcW w:type="dxa" w:w="4824"/>
          </w:tcPr>
          <w:p>
            <w:pPr>
              <w:jc w:val="left"/>
            </w:pPr>
            <w:r/>
            <w:r>
              <w:rPr>
                <w:b w:val="0"/>
                <w:sz w:val="18"/>
              </w:rPr>
              <w:t>GET request with crafted query parameters, delivered via phishing, stored XSS, or cross-site content</w:t>
            </w:r>
          </w:p>
        </w:tc>
      </w:tr>
      <w:tr>
        <w:tc>
          <w:tcPr>
            <w:tcW w:type="dxa" w:w="4824"/>
          </w:tcPr>
          <w:p>
            <w:pPr>
              <w:jc w:val="left"/>
            </w:pPr>
            <w:r/>
            <w:r>
              <w:rPr>
                <w:b w:val="0"/>
                <w:sz w:val="18"/>
              </w:rPr>
              <w:t>References</w:t>
            </w:r>
          </w:p>
        </w:tc>
        <w:tc>
          <w:tcPr>
            <w:tcW w:type="dxa" w:w="4824"/>
          </w:tcPr>
          <w:p>
            <w:pPr>
              <w:jc w:val="left"/>
            </w:pPr>
            <w:r/>
            <w:r>
              <w:rPr>
                <w:b w:val="0"/>
                <w:sz w:val="18"/>
              </w:rPr>
              <w:t>https://cwe.mitre.org/data/definitions/352.html</w:t>
            </w:r>
          </w:p>
        </w:tc>
      </w:tr>
    </w:tbl>
    <w:p/>
    <w:p>
      <w:r>
        <w:rPr>
          <w:b/>
          <w:sz w:val="19"/>
        </w:rPr>
        <w:t>Evidence</w:t>
      </w:r>
      <w:r>
        <w:rPr>
          <w:sz w:val="19"/>
        </w:rPr>
        <w:t xml:space="preserve">  </w:t>
      </w:r>
    </w:p>
    <w:p>
      <w:r>
        <w:rPr>
          <w:sz w:val="19"/>
        </w:rPr>
        <w:t xml:space="preserve">The following command changed the password for the user associated with admin@juice-sh.op from </w:t>
      </w:r>
      <w:r>
        <w:rPr>
          <w:rFonts w:ascii="Courier New" w:hAnsi="Courier New"/>
          <w:sz w:val="19"/>
        </w:rPr>
        <w:t>admin123</w:t>
      </w:r>
      <w:r>
        <w:rPr>
          <w:sz w:val="19"/>
        </w:rPr>
        <w:t xml:space="preserve"> to </w:t>
      </w:r>
      <w:r>
        <w:rPr>
          <w:rFonts w:ascii="Courier New" w:hAnsi="Courier New"/>
          <w:sz w:val="19"/>
        </w:rPr>
        <w:t>hacked123</w:t>
      </w:r>
      <w:r>
        <w:rPr>
          <w:sz w:val="19"/>
        </w:rPr>
        <w:t xml:space="preserve">, using only a GET request and the authenticated JWT </w:t>
      </w:r>
      <w:r>
        <w:rPr>
          <w:rFonts w:ascii="Courier New" w:hAnsi="Courier New"/>
          <w:sz w:val="19"/>
        </w:rPr>
        <w:t>eyJ0eXAiOiJKV1QiLCJhbGciOiJSUzI1NiJ9.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.wbEAS0K3ugpJlMY-Ev7NpfxTOq3DGKEaTugWOCk37btZU1EfCxh8z9bgAiDqI2vl9UK3lZuYd4N72Dr5WTjvj64l24v-qB3j19j6lnC8BSQsE155MUmI15v0jWcGJegSP_Urdp9HUjyUskYIR20U0BfY_Gqo3jI1jtz7cL3axCM</w:t>
      </w:r>
      <w:r>
        <w:rPr>
          <w:sz w:val="19"/>
        </w:rPr>
        <w:t>:</w:t>
      </w:r>
    </w:p>
    <w:p>
      <w:pPr>
        <w:shd w:val="clear" w:fill="F2F2F2"/>
      </w:pPr>
      <w:r>
        <w:rPr>
          <w:rFonts w:ascii="Courier New" w:hAnsi="Courier New"/>
          <w:sz w:val="16"/>
        </w:rPr>
        <w:t>curl -s -k -X GET "https://demo.owasp-juice.shop//rest/user/change-password?current=admin123&amp;new=hacked123&amp;repeat=hacked123" -H "Authorization: Bearer eyJ0eXAiOiJKV1QiLCJhbGciOiJSUzI1NiJ9.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.wbEAS0K3ugpJlMY-Ev7NpfxTOq3DGKEaTugWOCk37btZU1EfCxh8z9bgAiDqI2vl9UK3lZuYd4N72Dr5WTjvj64l24v-qB3j19j6lnC8BSQsE155MUmI15v0jWcGJegSP_Urdp9HUjyUskYIR20U0BfY_Gqo3jI1jtz7cL3axCM"</w:t>
      </w:r>
    </w:p>
    <w:p>
      <w:r>
        <w:rPr>
          <w:sz w:val="19"/>
        </w:rPr>
        <w:t>A subsequent login attempt confirmed the password change:</w:t>
      </w:r>
    </w:p>
    <w:p>
      <w:pPr>
        <w:shd w:val="clear" w:fill="F2F2F2"/>
      </w:pPr>
      <w:r>
        <w:rPr>
          <w:rFonts w:ascii="Courier New" w:hAnsi="Courier New"/>
          <w:sz w:val="16"/>
        </w:rPr>
        <w:t>curl -s -k -X POST "https://demo.owasp-juice.shop//rest/user/login" -d '{"email":"admin@juice-sh.op","password":"hacked123"}'</w:t>
      </w:r>
    </w:p>
    <w:p>
      <w:r>
        <w:rPr>
          <w:b/>
          <w:sz w:val="19"/>
        </w:rPr>
        <w:t>Remediation Guidance</w:t>
      </w:r>
    </w:p>
    <w:p>
      <w:pPr>
        <w:pStyle w:val="ListBullet"/>
      </w:pPr>
      <w:r>
        <w:rPr>
          <w:sz w:val="19"/>
        </w:rPr>
        <w:t>Change the endpoint to accept only POST requests and implement synchroniser token pattern (CSRF tokens) for all state-changing operations.</w:t>
      </w:r>
    </w:p>
    <w:p>
      <w:pPr>
        <w:pStyle w:val="ListBullet"/>
      </w:pPr>
      <w:r>
        <w:rPr>
          <w:sz w:val="19"/>
        </w:rPr>
        <w:t xml:space="preserve">Validate the </w:t>
      </w:r>
      <w:r>
        <w:rPr>
          <w:rFonts w:ascii="Courier New" w:hAnsi="Courier New"/>
          <w:sz w:val="19"/>
        </w:rPr>
        <w:t>Origin</w:t>
      </w:r>
      <w:r>
        <w:rPr>
          <w:sz w:val="19"/>
        </w:rPr>
        <w:t xml:space="preserve"> or </w:t>
      </w:r>
      <w:r>
        <w:rPr>
          <w:rFonts w:ascii="Courier New" w:hAnsi="Courier New"/>
          <w:sz w:val="19"/>
        </w:rPr>
        <w:t>Referer</w:t>
      </w:r>
      <w:r>
        <w:rPr>
          <w:sz w:val="19"/>
        </w:rPr>
        <w:t xml:space="preserve"> header to ensure requests originate from the same site.</w:t>
      </w:r>
    </w:p>
    <w:p>
      <w:pPr>
        <w:pStyle w:val="ListBullet"/>
      </w:pPr>
      <w:r>
        <w:rPr>
          <w:sz w:val="19"/>
        </w:rPr>
        <w:t>Do not transmit sensitive parameters (passwords) via the URL query string; use the request body and enforce HTTPS.</w:t>
      </w:r>
    </w:p>
    <w:p>
      <w:r>
        <w:rPr>
          <w:b/>
          <w:color w:val="2B2D42"/>
          <w:sz w:val="23"/>
        </w:rPr>
        <w:t>2.3 Unrestricted File Upload — HIGH</w:t>
      </w:r>
    </w:p>
    <w:p>
      <w:r>
        <w:rPr>
          <w:b/>
          <w:sz w:val="19"/>
        </w:rPr>
        <w:t>Ref ID:</w:t>
      </w:r>
      <w:r>
        <w:rPr>
          <w:sz w:val="19"/>
        </w:rPr>
        <w:t xml:space="preserve"> PT-1-3</w:t>
      </w:r>
    </w:p>
    <w:p>
      <w:r>
        <w:rPr>
          <w:sz w:val="19"/>
        </w:rPr>
        <w:t xml:space="preserve">The </w:t>
      </w:r>
      <w:r>
        <w:rPr>
          <w:rFonts w:ascii="Courier New" w:hAnsi="Courier New"/>
          <w:sz w:val="19"/>
        </w:rPr>
        <w:t>/file-upload</w:t>
      </w:r>
      <w:r>
        <w:rPr>
          <w:sz w:val="19"/>
        </w:rPr>
        <w:t xml:space="preserve"> endpoint accepts any file type without validation and stores the uploaded file in multiple publicly accessible directories with predictable URLs. An attacker could upload a malicious script (e.g., </w:t>
      </w:r>
      <w:r>
        <w:rPr>
          <w:rFonts w:ascii="Courier New" w:hAnsi="Courier New"/>
          <w:sz w:val="19"/>
        </w:rPr>
        <w:t>.php</w:t>
      </w:r>
      <w:r>
        <w:rPr>
          <w:sz w:val="19"/>
        </w:rPr>
        <w:t xml:space="preserve">, </w:t>
      </w:r>
      <w:r>
        <w:rPr>
          <w:rFonts w:ascii="Courier New" w:hAnsi="Courier New"/>
          <w:sz w:val="19"/>
        </w:rPr>
        <w:t>.jsp</w:t>
      </w:r>
      <w:r>
        <w:rPr>
          <w:sz w:val="19"/>
        </w:rPr>
        <w:t xml:space="preserve">, </w:t>
      </w:r>
      <w:r>
        <w:rPr>
          <w:rFonts w:ascii="Courier New" w:hAnsi="Courier New"/>
          <w:sz w:val="19"/>
        </w:rPr>
        <w:t>.aspx</w:t>
      </w:r>
      <w:r>
        <w:rPr>
          <w:sz w:val="19"/>
        </w:rPr>
        <w:t>) and execute it via the web server, leading to remote code execution and full system compromise.</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https://demo.owasp-juice.shop//file-upload</w:t>
            </w:r>
          </w:p>
        </w:tc>
      </w:tr>
      <w:tr>
        <w:tc>
          <w:tcPr>
            <w:tcW w:type="dxa" w:w="4824"/>
          </w:tcPr>
          <w:p>
            <w:pPr>
              <w:jc w:val="left"/>
            </w:pPr>
            <w:r/>
            <w:r>
              <w:rPr>
                <w:b w:val="0"/>
                <w:sz w:val="18"/>
              </w:rPr>
              <w:t>Parameter(s)</w:t>
            </w:r>
          </w:p>
        </w:tc>
        <w:tc>
          <w:tcPr>
            <w:tcW w:type="dxa" w:w="4824"/>
          </w:tcPr>
          <w:p>
            <w:pPr>
              <w:jc w:val="left"/>
            </w:pPr>
            <w:r/>
            <w:r>
              <w:rPr>
                <w:b w:val="0"/>
                <w:sz w:val="18"/>
              </w:rPr>
              <w:t>File (multipart form)</w:t>
            </w:r>
          </w:p>
        </w:tc>
      </w:tr>
      <w:tr>
        <w:tc>
          <w:tcPr>
            <w:tcW w:type="dxa" w:w="4824"/>
          </w:tcPr>
          <w:p>
            <w:pPr>
              <w:jc w:val="left"/>
            </w:pPr>
            <w:r/>
            <w:r>
              <w:rPr>
                <w:b w:val="0"/>
                <w:sz w:val="18"/>
              </w:rPr>
              <w:t>Attack Vectors</w:t>
            </w:r>
          </w:p>
        </w:tc>
        <w:tc>
          <w:tcPr>
            <w:tcW w:type="dxa" w:w="4824"/>
          </w:tcPr>
          <w:p>
            <w:pPr>
              <w:jc w:val="left"/>
            </w:pPr>
            <w:r/>
            <w:r>
              <w:rPr>
                <w:b w:val="0"/>
                <w:sz w:val="18"/>
              </w:rPr>
              <w:t>Direct POST upload of executable file type</w:t>
            </w:r>
          </w:p>
        </w:tc>
      </w:tr>
      <w:tr>
        <w:tc>
          <w:tcPr>
            <w:tcW w:type="dxa" w:w="4824"/>
          </w:tcPr>
          <w:p>
            <w:pPr>
              <w:jc w:val="left"/>
            </w:pPr>
            <w:r/>
            <w:r>
              <w:rPr>
                <w:b w:val="0"/>
                <w:sz w:val="18"/>
              </w:rPr>
              <w:t>References</w:t>
            </w:r>
          </w:p>
        </w:tc>
        <w:tc>
          <w:tcPr>
            <w:tcW w:type="dxa" w:w="4824"/>
          </w:tcPr>
          <w:p>
            <w:pPr>
              <w:jc w:val="left"/>
            </w:pPr>
            <w:r/>
            <w:r>
              <w:rPr>
                <w:b w:val="0"/>
                <w:sz w:val="18"/>
              </w:rPr>
              <w:t>https://cwe.mitre.org/data/definitions/434.html</w:t>
            </w:r>
          </w:p>
        </w:tc>
      </w:tr>
    </w:tbl>
    <w:p/>
    <w:p>
      <w:r>
        <w:rPr>
          <w:b/>
          <w:sz w:val="19"/>
        </w:rPr>
        <w:t>Evidence</w:t>
      </w:r>
      <w:r>
        <w:rPr>
          <w:sz w:val="19"/>
        </w:rPr>
        <w:t xml:space="preserve">  </w:t>
      </w:r>
    </w:p>
    <w:p>
      <w:r>
        <w:rPr>
          <w:sz w:val="19"/>
        </w:rPr>
        <w:t>A harmless text file (</w:t>
      </w:r>
      <w:r>
        <w:rPr>
          <w:rFonts w:ascii="Courier New" w:hAnsi="Courier New"/>
          <w:sz w:val="19"/>
        </w:rPr>
        <w:t>unique_870ec1b7-eeaa-4aed-8e6f-61e6fc62ba66.txt</w:t>
      </w:r>
      <w:r>
        <w:rPr>
          <w:sz w:val="19"/>
        </w:rPr>
        <w:t>) was successfully uploaded and became accessible at multiple URLs:</w:t>
      </w:r>
    </w:p>
    <w:p>
      <w:pPr>
        <w:shd w:val="clear" w:fill="F2F2F2"/>
      </w:pPr>
      <w:r>
        <w:rPr>
          <w:rFonts w:ascii="Courier New" w:hAnsi="Courier New"/>
          <w:sz w:val="16"/>
        </w:rPr>
        <w:t>POST https://demo.owasp-juice.shop//file-upload (multipart file) → HTTP 204</w:t>
        <w:br/>
        <w:t>GET https://demo.owasp-juice.shop//assets/uploads/unique_870ec1b7-eeaa-4aed-8e6f-61e6fc62ba66.txt → HTTP 200</w:t>
        <w:br/>
        <w:t>GET https://demo.owasp-juice.shop//public/uploads/unique_870ec1b7-eeaa-4aed-8e6f-61e6fc62ba66.txt → HTTP 200</w:t>
        <w:br/>
        <w:t>GET https://demo.owasp-juice.shop//uploads/unique_870ec1b7-eeaa-4aed-8e6f-61e6fc62ba66.txt → HTTP 200</w:t>
      </w:r>
    </w:p>
    <w:p>
      <w:r>
        <w:rPr>
          <w:sz w:val="19"/>
        </w:rPr>
        <w:t>No authentication or MIME‑type filter was required.</w:t>
      </w:r>
    </w:p>
    <w:p>
      <w:r>
        <w:rPr>
          <w:b/>
          <w:sz w:val="19"/>
        </w:rPr>
        <w:t>Remediation Guidance</w:t>
      </w:r>
    </w:p>
    <w:p>
      <w:pPr>
        <w:pStyle w:val="ListBullet"/>
      </w:pPr>
      <w:r>
        <w:rPr>
          <w:sz w:val="19"/>
        </w:rPr>
        <w:t xml:space="preserve">Validate file extensions against a strict allow-list (e.g., </w:t>
      </w:r>
      <w:r>
        <w:rPr>
          <w:rFonts w:ascii="Courier New" w:hAnsi="Courier New"/>
          <w:sz w:val="19"/>
        </w:rPr>
        <w:t>.jpg</w:t>
      </w:r>
      <w:r>
        <w:rPr>
          <w:sz w:val="19"/>
        </w:rPr>
        <w:t xml:space="preserve">, </w:t>
      </w:r>
      <w:r>
        <w:rPr>
          <w:rFonts w:ascii="Courier New" w:hAnsi="Courier New"/>
          <w:sz w:val="19"/>
        </w:rPr>
        <w:t>.png</w:t>
      </w:r>
      <w:r>
        <w:rPr>
          <w:sz w:val="19"/>
        </w:rPr>
        <w:t xml:space="preserve">, </w:t>
      </w:r>
      <w:r>
        <w:rPr>
          <w:rFonts w:ascii="Courier New" w:hAnsi="Courier New"/>
          <w:sz w:val="19"/>
        </w:rPr>
        <w:t>.pdf</w:t>
      </w:r>
      <w:r>
        <w:rPr>
          <w:sz w:val="19"/>
        </w:rPr>
        <w:t>) and verify MIME types with content inspection.</w:t>
      </w:r>
    </w:p>
    <w:p>
      <w:pPr>
        <w:pStyle w:val="ListBullet"/>
      </w:pPr>
      <w:r>
        <w:rPr>
          <w:sz w:val="19"/>
        </w:rPr>
        <w:t>Store uploaded files outside the web document root and serve them via a dedicated handler that does not execute any server‑side code.</w:t>
      </w:r>
    </w:p>
    <w:p>
      <w:pPr>
        <w:pStyle w:val="ListBullet"/>
      </w:pPr>
      <w:r>
        <w:rPr>
          <w:sz w:val="19"/>
        </w:rPr>
        <w:t>Implement authentication and authorisation for the upload endpoint to prevent anonymous misuse.</w:t>
      </w:r>
    </w:p>
    <w:p>
      <w:r>
        <w:rPr>
          <w:b/>
          <w:color w:val="2B2D42"/>
          <w:sz w:val="23"/>
        </w:rPr>
        <w:t>2.4 Prototype Pollution — MEDIUM</w:t>
      </w:r>
    </w:p>
    <w:p>
      <w:r>
        <w:rPr>
          <w:b/>
          <w:sz w:val="19"/>
        </w:rPr>
        <w:t>Ref ID:</w:t>
      </w:r>
      <w:r>
        <w:rPr>
          <w:sz w:val="19"/>
        </w:rPr>
        <w:t xml:space="preserve"> PT-1-4</w:t>
      </w:r>
    </w:p>
    <w:p>
      <w:r>
        <w:rPr>
          <w:sz w:val="19"/>
        </w:rPr>
        <w:t>The user registration endpoint (</w:t>
      </w:r>
      <w:r>
        <w:rPr>
          <w:rFonts w:ascii="Courier New" w:hAnsi="Courier New"/>
          <w:sz w:val="19"/>
        </w:rPr>
        <w:t>/api/Users</w:t>
      </w:r>
      <w:r>
        <w:rPr>
          <w:sz w:val="19"/>
        </w:rPr>
        <w:t xml:space="preserve">) accepts JSON containing </w:t>
      </w:r>
      <w:r>
        <w:rPr>
          <w:rFonts w:ascii="Courier New" w:hAnsi="Courier New"/>
          <w:sz w:val="19"/>
        </w:rPr>
        <w:t>__proto__</w:t>
      </w:r>
      <w:r>
        <w:rPr>
          <w:sz w:val="19"/>
        </w:rPr>
        <w:t xml:space="preserve"> and </w:t>
      </w:r>
      <w:r>
        <w:rPr>
          <w:rFonts w:ascii="Courier New" w:hAnsi="Courier New"/>
          <w:sz w:val="19"/>
        </w:rPr>
        <w:t>constructor.prototype</w:t>
      </w:r>
      <w:r>
        <w:rPr>
          <w:sz w:val="19"/>
        </w:rPr>
        <w:t xml:space="preserve"> keys without sanitisation. While direct privilege escalation to admin was not achieved because the server overrides the </w:t>
      </w:r>
      <w:r>
        <w:rPr>
          <w:rFonts w:ascii="Courier New" w:hAnsi="Courier New"/>
          <w:sz w:val="19"/>
        </w:rPr>
        <w:t>role</w:t>
      </w:r>
      <w:r>
        <w:rPr>
          <w:sz w:val="19"/>
        </w:rPr>
        <w:t xml:space="preserve"> field after creation, the pollution vector is confirmed and can destabilise the Node.js process, potentially enabling denial-of-service or further chained attacks.</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https://demo.owasp-juice.shop//api/Users (POST)</w:t>
            </w:r>
          </w:p>
        </w:tc>
      </w:tr>
      <w:tr>
        <w:tc>
          <w:tcPr>
            <w:tcW w:type="dxa" w:w="4824"/>
          </w:tcPr>
          <w:p>
            <w:pPr>
              <w:jc w:val="left"/>
            </w:pPr>
            <w:r/>
            <w:r>
              <w:rPr>
                <w:b w:val="0"/>
                <w:sz w:val="18"/>
              </w:rPr>
              <w:t>Parameter(s)</w:t>
            </w:r>
          </w:p>
        </w:tc>
        <w:tc>
          <w:tcPr>
            <w:tcW w:type="dxa" w:w="4824"/>
          </w:tcPr>
          <w:p>
            <w:pPr>
              <w:jc w:val="left"/>
            </w:pPr>
            <w:r/>
            <w:r>
              <w:rPr>
                <w:b w:val="0"/>
                <w:sz w:val="18"/>
              </w:rPr>
              <w:t>JSON body (`__proto__`, `constructor.prototype`)</w:t>
            </w:r>
          </w:p>
        </w:tc>
      </w:tr>
      <w:tr>
        <w:tc>
          <w:tcPr>
            <w:tcW w:type="dxa" w:w="4824"/>
          </w:tcPr>
          <w:p>
            <w:pPr>
              <w:jc w:val="left"/>
            </w:pPr>
            <w:r/>
            <w:r>
              <w:rPr>
                <w:b w:val="0"/>
                <w:sz w:val="18"/>
              </w:rPr>
              <w:t>Attack Vectors</w:t>
            </w:r>
          </w:p>
        </w:tc>
        <w:tc>
          <w:tcPr>
            <w:tcW w:type="dxa" w:w="4824"/>
          </w:tcPr>
          <w:p>
            <w:pPr>
              <w:jc w:val="left"/>
            </w:pPr>
            <w:r/>
            <w:r>
              <w:rPr>
                <w:b w:val="0"/>
                <w:sz w:val="18"/>
              </w:rPr>
              <w:t>JSON injection with polluted prototype properties</w:t>
            </w:r>
          </w:p>
        </w:tc>
      </w:tr>
      <w:tr>
        <w:tc>
          <w:tcPr>
            <w:tcW w:type="dxa" w:w="4824"/>
          </w:tcPr>
          <w:p>
            <w:pPr>
              <w:jc w:val="left"/>
            </w:pPr>
            <w:r/>
            <w:r>
              <w:rPr>
                <w:b w:val="0"/>
                <w:sz w:val="18"/>
              </w:rPr>
              <w:t>References</w:t>
            </w:r>
          </w:p>
        </w:tc>
        <w:tc>
          <w:tcPr>
            <w:tcW w:type="dxa" w:w="4824"/>
          </w:tcPr>
          <w:p>
            <w:pPr>
              <w:jc w:val="left"/>
            </w:pPr>
            <w:r/>
            <w:r>
              <w:rPr>
                <w:b w:val="0"/>
                <w:sz w:val="18"/>
              </w:rPr>
              <w:t>https://cwe.mitre.org/data/definitions/1321.html</w:t>
            </w:r>
          </w:p>
        </w:tc>
      </w:tr>
    </w:tbl>
    <w:p/>
    <w:p>
      <w:r>
        <w:rPr>
          <w:b/>
          <w:sz w:val="19"/>
        </w:rPr>
        <w:t>Evidence</w:t>
      </w:r>
      <w:r>
        <w:rPr>
          <w:sz w:val="19"/>
        </w:rPr>
        <w:t xml:space="preserve">  </w:t>
      </w:r>
    </w:p>
    <w:p>
      <w:r>
        <w:rPr>
          <w:sz w:val="19"/>
        </w:rPr>
        <w:t xml:space="preserve">Sending a payload with </w:t>
      </w:r>
      <w:r>
        <w:rPr>
          <w:rFonts w:ascii="Courier New" w:hAnsi="Courier New"/>
          <w:sz w:val="19"/>
        </w:rPr>
        <w:t>"__proto__":{"role":"admin"}</w:t>
      </w:r>
      <w:r>
        <w:rPr>
          <w:sz w:val="19"/>
        </w:rPr>
        <w:t xml:space="preserve"> resulted in a user creation with </w:t>
      </w:r>
      <w:r>
        <w:rPr>
          <w:rFonts w:ascii="Courier New" w:hAnsi="Courier New"/>
          <w:sz w:val="19"/>
        </w:rPr>
        <w:t>role</w:t>
      </w:r>
      <w:r>
        <w:rPr>
          <w:sz w:val="19"/>
        </w:rPr>
        <w:t xml:space="preserve"> still set to </w:t>
      </w:r>
      <w:r>
        <w:rPr>
          <w:rFonts w:ascii="Courier New" w:hAnsi="Courier New"/>
          <w:sz w:val="19"/>
        </w:rPr>
        <w:t>"customer"</w:t>
      </w:r>
      <w:r>
        <w:rPr>
          <w:sz w:val="19"/>
        </w:rPr>
        <w:t>, but the request was accepted and the server later returned 503 errors, indicating instability:</w:t>
      </w:r>
    </w:p>
    <w:p>
      <w:pPr>
        <w:shd w:val="clear" w:fill="F2F2F2"/>
      </w:pPr>
      <w:r>
        <w:rPr>
          <w:rFonts w:ascii="Courier New" w:hAnsi="Courier New"/>
          <w:sz w:val="16"/>
        </w:rPr>
        <w:t>POST https://demo.owasp-juice.shop//api/Users</w:t>
        <w:br/>
        <w:t>{"email":"pptest@test.com","password":"test123","__proto__":{"role":"admin"}}</w:t>
        <w:br/>
        <w:t>→ HTTP 201 {"role":"customer",...}</w:t>
      </w:r>
    </w:p>
    <w:p>
      <w:r>
        <w:rPr>
          <w:b/>
          <w:sz w:val="19"/>
        </w:rPr>
        <w:t>Remediation Guidance</w:t>
      </w:r>
    </w:p>
    <w:p>
      <w:pPr>
        <w:pStyle w:val="ListBullet"/>
      </w:pPr>
      <w:r>
        <w:rPr>
          <w:sz w:val="19"/>
        </w:rPr>
        <w:t xml:space="preserve">Strip or escape </w:t>
      </w:r>
      <w:r>
        <w:rPr>
          <w:rFonts w:ascii="Courier New" w:hAnsi="Courier New"/>
          <w:sz w:val="19"/>
        </w:rPr>
        <w:t>__proto__</w:t>
      </w:r>
      <w:r>
        <w:rPr>
          <w:sz w:val="19"/>
        </w:rPr>
        <w:t xml:space="preserve">, </w:t>
      </w:r>
      <w:r>
        <w:rPr>
          <w:rFonts w:ascii="Courier New" w:hAnsi="Courier New"/>
          <w:sz w:val="19"/>
        </w:rPr>
        <w:t>constructor</w:t>
      </w:r>
      <w:r>
        <w:rPr>
          <w:sz w:val="19"/>
        </w:rPr>
        <w:t xml:space="preserve">, and </w:t>
      </w:r>
      <w:r>
        <w:rPr>
          <w:rFonts w:ascii="Courier New" w:hAnsi="Courier New"/>
          <w:sz w:val="19"/>
        </w:rPr>
        <w:t>prototype</w:t>
      </w:r>
      <w:r>
        <w:rPr>
          <w:sz w:val="19"/>
        </w:rPr>
        <w:t xml:space="preserve"> keys from all incoming JSON before processing.</w:t>
      </w:r>
    </w:p>
    <w:p>
      <w:pPr>
        <w:pStyle w:val="ListBullet"/>
      </w:pPr>
      <w:r>
        <w:rPr>
          <w:sz w:val="19"/>
        </w:rPr>
        <w:t xml:space="preserve">Use </w:t>
      </w:r>
      <w:r>
        <w:rPr>
          <w:rFonts w:ascii="Courier New" w:hAnsi="Courier New"/>
          <w:sz w:val="19"/>
        </w:rPr>
        <w:t>JSON.parse(input, reviver)</w:t>
      </w:r>
      <w:r>
        <w:rPr>
          <w:sz w:val="19"/>
        </w:rPr>
        <w:t xml:space="preserve"> with </w:t>
      </w:r>
      <w:r>
        <w:rPr>
          <w:rFonts w:ascii="Courier New" w:hAnsi="Courier New"/>
          <w:sz w:val="19"/>
        </w:rPr>
        <w:t>Object.create(null)</w:t>
      </w:r>
      <w:r>
        <w:rPr>
          <w:sz w:val="19"/>
        </w:rPr>
        <w:t xml:space="preserve"> for security‑sensitive operations.</w:t>
      </w:r>
    </w:p>
    <w:p>
      <w:pPr>
        <w:pStyle w:val="ListBullet"/>
      </w:pPr>
      <w:r>
        <w:rPr>
          <w:sz w:val="19"/>
        </w:rPr>
        <w:t>Apply rate limiting to registration endpoints and monitor for crash conditions.</w:t>
      </w:r>
    </w:p>
    <w:p>
      <w:pPr>
        <w:pStyle w:val="ListBullet"/>
      </w:pPr>
      <w:r>
        <w:rPr>
          <w:sz w:val="19"/>
        </w:rPr>
        <w:t>Upgrade Node.js and all middleware to versions that mitigate prototype pollution attacks.</w:t>
      </w:r>
    </w:p>
    <w:p>
      <w:r>
        <w:rPr>
          <w:b/>
          <w:color w:val="2B2D42"/>
          <w:sz w:val="23"/>
        </w:rPr>
        <w:t>2.5 CORS Misconfiguration — MEDIUM</w:t>
      </w:r>
    </w:p>
    <w:p>
      <w:r>
        <w:rPr>
          <w:b/>
          <w:sz w:val="19"/>
        </w:rPr>
        <w:t>Ref ID:</w:t>
      </w:r>
      <w:r>
        <w:rPr>
          <w:sz w:val="19"/>
        </w:rPr>
        <w:t xml:space="preserve"> PT-1-5</w:t>
      </w:r>
    </w:p>
    <w:p>
      <w:r>
        <w:rPr>
          <w:sz w:val="19"/>
        </w:rPr>
        <w:t xml:space="preserve">The application responds with </w:t>
      </w:r>
      <w:r>
        <w:rPr>
          <w:rFonts w:ascii="Courier New" w:hAnsi="Courier New"/>
          <w:sz w:val="19"/>
        </w:rPr>
        <w:t>Access-Control-Allow-Origin: *</w:t>
      </w:r>
      <w:r>
        <w:rPr>
          <w:sz w:val="19"/>
        </w:rPr>
        <w:t>, allowing any website to make authenticated cross-origin requests and read responses. This enables an attacker to steal sensitive data (e.g., user profiles, basket contents, administrative information) if a victim visits a malicious site while authenticated.</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https://demo.owasp-juice.shop/ (all responses)</w:t>
            </w:r>
          </w:p>
        </w:tc>
      </w:tr>
      <w:tr>
        <w:tc>
          <w:tcPr>
            <w:tcW w:type="dxa" w:w="4824"/>
          </w:tcPr>
          <w:p>
            <w:pPr>
              <w:jc w:val="left"/>
            </w:pPr>
            <w:r/>
            <w:r>
              <w:rPr>
                <w:b w:val="0"/>
                <w:sz w:val="18"/>
              </w:rPr>
              <w:t>Parameter(s)</w:t>
            </w:r>
          </w:p>
        </w:tc>
        <w:tc>
          <w:tcPr>
            <w:tcW w:type="dxa" w:w="4824"/>
          </w:tcPr>
          <w:p>
            <w:pPr>
              <w:jc w:val="left"/>
            </w:pPr>
            <w:r/>
            <w:r>
              <w:rPr>
                <w:b w:val="0"/>
                <w:sz w:val="18"/>
              </w:rPr>
              <w:t>HTTP response header</w:t>
            </w:r>
          </w:p>
        </w:tc>
      </w:tr>
      <w:tr>
        <w:tc>
          <w:tcPr>
            <w:tcW w:type="dxa" w:w="4824"/>
          </w:tcPr>
          <w:p>
            <w:pPr>
              <w:jc w:val="left"/>
            </w:pPr>
            <w:r/>
            <w:r>
              <w:rPr>
                <w:b w:val="0"/>
                <w:sz w:val="18"/>
              </w:rPr>
              <w:t>Attack Vectors</w:t>
            </w:r>
          </w:p>
        </w:tc>
        <w:tc>
          <w:tcPr>
            <w:tcW w:type="dxa" w:w="4824"/>
          </w:tcPr>
          <w:p>
            <w:pPr>
              <w:jc w:val="left"/>
            </w:pPr>
            <w:r/>
            <w:r>
              <w:rPr>
                <w:b w:val="0"/>
                <w:sz w:val="18"/>
              </w:rPr>
              <w:t>Malicious cross‑origin script reading AJAX responses</w:t>
            </w:r>
          </w:p>
        </w:tc>
      </w:tr>
      <w:tr>
        <w:tc>
          <w:tcPr>
            <w:tcW w:type="dxa" w:w="4824"/>
          </w:tcPr>
          <w:p>
            <w:pPr>
              <w:jc w:val="left"/>
            </w:pPr>
            <w:r/>
            <w:r>
              <w:rPr>
                <w:b w:val="0"/>
                <w:sz w:val="18"/>
              </w:rPr>
              <w:t>References</w:t>
            </w:r>
          </w:p>
        </w:tc>
        <w:tc>
          <w:tcPr>
            <w:tcW w:type="dxa" w:w="4824"/>
          </w:tcPr>
          <w:p>
            <w:pPr>
              <w:jc w:val="left"/>
            </w:pPr>
            <w:r/>
            <w:r>
              <w:rPr>
                <w:b w:val="0"/>
                <w:sz w:val="18"/>
              </w:rPr>
              <w:t>https://cwe.mitre.org/data/definitions/942.html</w:t>
            </w:r>
          </w:p>
        </w:tc>
      </w:tr>
    </w:tbl>
    <w:p/>
    <w:p>
      <w:r>
        <w:rPr>
          <w:b/>
          <w:sz w:val="19"/>
        </w:rPr>
        <w:t>Evidence</w:t>
      </w:r>
      <w:r>
        <w:rPr>
          <w:sz w:val="19"/>
        </w:rPr>
        <w:t xml:space="preserve">  </w:t>
      </w:r>
    </w:p>
    <w:p>
      <w:r>
        <w:rPr>
          <w:sz w:val="19"/>
        </w:rPr>
        <w:t>The following header was observed in multiple responses:</w:t>
      </w:r>
    </w:p>
    <w:p>
      <w:pPr>
        <w:shd w:val="clear" w:fill="F2F2F2"/>
      </w:pPr>
      <w:r>
        <w:rPr>
          <w:rFonts w:ascii="Courier New" w:hAnsi="Courier New"/>
          <w:sz w:val="16"/>
        </w:rPr>
        <w:t>Access-Control-Allow-Origin: *</w:t>
      </w:r>
    </w:p>
    <w:p>
      <w:r>
        <w:rPr>
          <w:b/>
          <w:sz w:val="19"/>
        </w:rPr>
        <w:t>Remediation Guidance</w:t>
      </w:r>
    </w:p>
    <w:p>
      <w:pPr>
        <w:pStyle w:val="ListBullet"/>
      </w:pPr>
      <w:r>
        <w:rPr>
          <w:sz w:val="19"/>
        </w:rPr>
        <w:t xml:space="preserve">Restrict </w:t>
      </w:r>
      <w:r>
        <w:rPr>
          <w:rFonts w:ascii="Courier New" w:hAnsi="Courier New"/>
          <w:sz w:val="19"/>
        </w:rPr>
        <w:t>Access-Control-Allow-Origin</w:t>
      </w:r>
      <w:r>
        <w:rPr>
          <w:sz w:val="19"/>
        </w:rPr>
        <w:t xml:space="preserve"> to specific trusted domains rather than using a wildcard.</w:t>
      </w:r>
    </w:p>
    <w:p>
      <w:pPr>
        <w:pStyle w:val="ListBullet"/>
      </w:pPr>
      <w:r>
        <w:rPr>
          <w:sz w:val="19"/>
        </w:rPr>
        <w:t xml:space="preserve">If multiple origins are required, dynamically validate the </w:t>
      </w:r>
      <w:r>
        <w:rPr>
          <w:rFonts w:ascii="Courier New" w:hAnsi="Courier New"/>
          <w:sz w:val="19"/>
        </w:rPr>
        <w:t>Origin</w:t>
      </w:r>
      <w:r>
        <w:rPr>
          <w:sz w:val="19"/>
        </w:rPr>
        <w:t xml:space="preserve"> header against an allow‑list.</w:t>
      </w:r>
    </w:p>
    <w:p>
      <w:pPr>
        <w:pStyle w:val="ListBullet"/>
      </w:pPr>
      <w:r>
        <w:rPr>
          <w:sz w:val="19"/>
        </w:rPr>
        <w:t xml:space="preserve">Consider adding </w:t>
      </w:r>
      <w:r>
        <w:rPr>
          <w:rFonts w:ascii="Courier New" w:hAnsi="Courier New"/>
          <w:sz w:val="19"/>
        </w:rPr>
        <w:t>Access-Control-Allow-Credentials: true</w:t>
      </w:r>
      <w:r>
        <w:rPr>
          <w:sz w:val="19"/>
        </w:rPr>
        <w:t xml:space="preserve"> only when strictly necessary and ensure that wildcard origins are not allowed in that case.</w:t>
      </w:r>
    </w:p>
    <w:p>
      <w:r>
        <w:rPr>
          <w:b/>
          <w:color w:val="2B2D42"/>
          <w:sz w:val="23"/>
        </w:rPr>
        <w:t>2.6 FTP Directory Exposure — MEDIUM</w:t>
      </w:r>
    </w:p>
    <w:p>
      <w:r>
        <w:rPr>
          <w:b/>
          <w:sz w:val="19"/>
        </w:rPr>
        <w:t>Ref ID:</w:t>
      </w:r>
      <w:r>
        <w:rPr>
          <w:sz w:val="19"/>
        </w:rPr>
        <w:t xml:space="preserve"> PT-1-6</w:t>
      </w:r>
    </w:p>
    <w:p>
      <w:r>
        <w:rPr>
          <w:sz w:val="19"/>
        </w:rPr>
        <w:t xml:space="preserve">The </w:t>
      </w:r>
      <w:r>
        <w:rPr>
          <w:rFonts w:ascii="Courier New" w:hAnsi="Courier New"/>
          <w:sz w:val="19"/>
        </w:rPr>
        <w:t>/ftp</w:t>
      </w:r>
      <w:r>
        <w:rPr>
          <w:sz w:val="19"/>
        </w:rPr>
        <w:t xml:space="preserve"> directory is accessible without authentication and appears to contain sensitive files such as backups or acquisition documents. Although some requests intermittently return 503, directory enumeration indicated a large content area, increasing the attack surface for information disclosure.</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https://demo.owasp-juice.shop//ftp</w:t>
            </w:r>
          </w:p>
        </w:tc>
      </w:tr>
      <w:tr>
        <w:tc>
          <w:tcPr>
            <w:tcW w:type="dxa" w:w="4824"/>
          </w:tcPr>
          <w:p>
            <w:pPr>
              <w:jc w:val="left"/>
            </w:pPr>
            <w:r/>
            <w:r>
              <w:rPr>
                <w:b w:val="0"/>
                <w:sz w:val="18"/>
              </w:rPr>
              <w:t>Parameter(s)</w:t>
            </w:r>
          </w:p>
        </w:tc>
        <w:tc>
          <w:tcPr>
            <w:tcW w:type="dxa" w:w="4824"/>
          </w:tcPr>
          <w:p>
            <w:pPr>
              <w:jc w:val="left"/>
            </w:pPr>
            <w:r/>
            <w:r>
              <w:rPr>
                <w:b w:val="0"/>
                <w:sz w:val="18"/>
              </w:rPr>
              <w:t>URL path</w:t>
            </w:r>
          </w:p>
        </w:tc>
      </w:tr>
      <w:tr>
        <w:tc>
          <w:tcPr>
            <w:tcW w:type="dxa" w:w="4824"/>
          </w:tcPr>
          <w:p>
            <w:pPr>
              <w:jc w:val="left"/>
            </w:pPr>
            <w:r/>
            <w:r>
              <w:rPr>
                <w:b w:val="0"/>
                <w:sz w:val="18"/>
              </w:rPr>
              <w:t>Attack Vectors</w:t>
            </w:r>
          </w:p>
        </w:tc>
        <w:tc>
          <w:tcPr>
            <w:tcW w:type="dxa" w:w="4824"/>
          </w:tcPr>
          <w:p>
            <w:pPr>
              <w:jc w:val="left"/>
            </w:pPr>
            <w:r/>
            <w:r>
              <w:rPr>
                <w:b w:val="0"/>
                <w:sz w:val="18"/>
              </w:rPr>
              <w:t>Direct browsing or automated crawl of restricted directory</w:t>
            </w:r>
          </w:p>
        </w:tc>
      </w:tr>
      <w:tr>
        <w:tc>
          <w:tcPr>
            <w:tcW w:type="dxa" w:w="4824"/>
          </w:tcPr>
          <w:p>
            <w:pPr>
              <w:jc w:val="left"/>
            </w:pPr>
            <w:r/>
            <w:r>
              <w:rPr>
                <w:b w:val="0"/>
                <w:sz w:val="18"/>
              </w:rPr>
              <w:t>References</w:t>
            </w:r>
          </w:p>
        </w:tc>
        <w:tc>
          <w:tcPr>
            <w:tcW w:type="dxa" w:w="4824"/>
          </w:tcPr>
          <w:p>
            <w:pPr>
              <w:jc w:val="left"/>
            </w:pPr>
            <w:r/>
            <w:r>
              <w:rPr>
                <w:b w:val="0"/>
                <w:sz w:val="18"/>
              </w:rPr>
              <w:t>https://cwe.mitre.org/data/definitions/548.html</w:t>
            </w:r>
          </w:p>
        </w:tc>
      </w:tr>
    </w:tbl>
    <w:p/>
    <w:p>
      <w:r>
        <w:rPr>
          <w:b/>
          <w:sz w:val="19"/>
        </w:rPr>
        <w:t>Evidence</w:t>
      </w:r>
      <w:r>
        <w:rPr>
          <w:sz w:val="19"/>
        </w:rPr>
        <w:t xml:space="preserve">  </w:t>
      </w:r>
    </w:p>
    <w:p>
      <w:r>
        <w:rPr>
          <w:rFonts w:ascii="Courier New" w:hAnsi="Courier New"/>
          <w:sz w:val="19"/>
        </w:rPr>
        <w:t>robots.txt</w:t>
      </w:r>
      <w:r>
        <w:rPr>
          <w:sz w:val="19"/>
        </w:rPr>
        <w:t xml:space="preserve"> explicitly disallows </w:t>
      </w:r>
      <w:r>
        <w:rPr>
          <w:rFonts w:ascii="Courier New" w:hAnsi="Courier New"/>
          <w:sz w:val="19"/>
        </w:rPr>
        <w:t>/ftp</w:t>
      </w:r>
      <w:r>
        <w:rPr>
          <w:sz w:val="19"/>
        </w:rPr>
        <w:t>, confirming its existence:</w:t>
      </w:r>
    </w:p>
    <w:p>
      <w:pPr>
        <w:shd w:val="clear" w:fill="F2F2F2"/>
      </w:pPr>
      <w:r>
        <w:rPr>
          <w:rFonts w:ascii="Courier New" w:hAnsi="Courier New"/>
          <w:sz w:val="16"/>
        </w:rPr>
        <w:t>User-agent: *</w:t>
        <w:br/>
        <w:t>Disallow: /ftp</w:t>
      </w:r>
    </w:p>
    <w:p>
      <w:r>
        <w:rPr>
          <w:sz w:val="19"/>
        </w:rPr>
        <w:t xml:space="preserve">Directory enumeration with </w:t>
      </w:r>
      <w:r>
        <w:rPr>
          <w:rFonts w:ascii="Courier New" w:hAnsi="Courier New"/>
          <w:sz w:val="19"/>
        </w:rPr>
        <w:t>ffuf</w:t>
      </w:r>
      <w:r>
        <w:rPr>
          <w:sz w:val="19"/>
        </w:rPr>
        <w:t xml:space="preserve"> returned HTTP 200 and 12454 bytes of content, proving the directory is accessible.</w:t>
      </w:r>
    </w:p>
    <w:p>
      <w:r>
        <w:rPr>
          <w:b/>
          <w:sz w:val="19"/>
        </w:rPr>
        <w:t>Remediation Guidance</w:t>
      </w:r>
    </w:p>
    <w:p>
      <w:pPr>
        <w:pStyle w:val="ListBullet"/>
      </w:pPr>
      <w:r>
        <w:rPr>
          <w:sz w:val="19"/>
        </w:rPr>
        <w:t xml:space="preserve">Restrict access to the </w:t>
      </w:r>
      <w:r>
        <w:rPr>
          <w:rFonts w:ascii="Courier New" w:hAnsi="Courier New"/>
          <w:sz w:val="19"/>
        </w:rPr>
        <w:t>/ftp</w:t>
      </w:r>
      <w:r>
        <w:rPr>
          <w:sz w:val="19"/>
        </w:rPr>
        <w:t xml:space="preserve"> directory using web server configuration (e.g., </w:t>
      </w:r>
      <w:r>
        <w:rPr>
          <w:rFonts w:ascii="Courier New" w:hAnsi="Courier New"/>
          <w:sz w:val="19"/>
        </w:rPr>
        <w:t>.htaccess</w:t>
      </w:r>
      <w:r>
        <w:rPr>
          <w:sz w:val="19"/>
        </w:rPr>
        <w:t xml:space="preserve"> with </w:t>
      </w:r>
      <w:r>
        <w:rPr>
          <w:rFonts w:ascii="Courier New" w:hAnsi="Courier New"/>
          <w:sz w:val="19"/>
        </w:rPr>
        <w:t>Deny from all</w:t>
      </w:r>
      <w:r>
        <w:rPr>
          <w:sz w:val="19"/>
        </w:rPr>
        <w:t xml:space="preserve"> or equivalent).</w:t>
      </w:r>
    </w:p>
    <w:p>
      <w:pPr>
        <w:pStyle w:val="ListBullet"/>
      </w:pPr>
      <w:r>
        <w:rPr>
          <w:sz w:val="19"/>
        </w:rPr>
        <w:t xml:space="preserve">Remove the directory listing from </w:t>
      </w:r>
      <w:r>
        <w:rPr>
          <w:rFonts w:ascii="Courier New" w:hAnsi="Courier New"/>
          <w:sz w:val="19"/>
        </w:rPr>
        <w:t>robots.txt</w:t>
      </w:r>
      <w:r>
        <w:rPr>
          <w:sz w:val="19"/>
        </w:rPr>
        <w:t xml:space="preserve"> – instead, ensure it is not reachable at all.</w:t>
      </w:r>
    </w:p>
    <w:p>
      <w:pPr>
        <w:pStyle w:val="ListBullet"/>
      </w:pPr>
      <w:r>
        <w:rPr>
          <w:sz w:val="19"/>
        </w:rPr>
        <w:t>Review the contents of the directory and move any sensitive files to a secure, authenticated location.</w:t>
      </w:r>
    </w:p>
    <w:p>
      <w:r>
        <w:rPr>
          <w:b/>
          <w:color w:val="2B2D42"/>
          <w:sz w:val="23"/>
        </w:rPr>
        <w:t>2.7 Information Disclosure via Admin Configuration Endpoint — MEDIUM</w:t>
      </w:r>
    </w:p>
    <w:p>
      <w:r>
        <w:rPr>
          <w:b/>
          <w:sz w:val="19"/>
        </w:rPr>
        <w:t>Ref ID:</w:t>
      </w:r>
      <w:r>
        <w:rPr>
          <w:sz w:val="19"/>
        </w:rPr>
        <w:t xml:space="preserve"> PT-1-7</w:t>
      </w:r>
    </w:p>
    <w:p>
      <w:r>
        <w:rPr>
          <w:sz w:val="19"/>
        </w:rPr>
        <w:t xml:space="preserve">The endpoint </w:t>
      </w:r>
      <w:r>
        <w:rPr>
          <w:rFonts w:ascii="Courier New" w:hAnsi="Courier New"/>
          <w:sz w:val="19"/>
        </w:rPr>
        <w:t>/rest/admin/application-configuration</w:t>
      </w:r>
      <w:r>
        <w:rPr>
          <w:sz w:val="19"/>
        </w:rPr>
        <w:t xml:space="preserve"> is accessible without authentication and returns the full server‑side application configuration. This exposes internal infrastructure details, such as the internal server URL (</w:t>
      </w:r>
      <w:r>
        <w:rPr>
          <w:rFonts w:ascii="Courier New" w:hAnsi="Courier New"/>
          <w:sz w:val="19"/>
        </w:rPr>
        <w:t>http://localhost:3000</w:t>
      </w:r>
      <w:r>
        <w:rPr>
          <w:sz w:val="19"/>
        </w:rPr>
        <w:t>), database connection parameters, and a privacy contact email address.</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https://demo.owasp-juice.shop//rest/admin/application-configuration</w:t>
            </w:r>
          </w:p>
        </w:tc>
      </w:tr>
      <w:tr>
        <w:tc>
          <w:tcPr>
            <w:tcW w:type="dxa" w:w="4824"/>
          </w:tcPr>
          <w:p>
            <w:pPr>
              <w:jc w:val="left"/>
            </w:pPr>
            <w:r/>
            <w:r>
              <w:rPr>
                <w:b w:val="0"/>
                <w:sz w:val="18"/>
              </w:rPr>
              <w:t>Parameter(s)</w:t>
            </w:r>
          </w:p>
        </w:tc>
        <w:tc>
          <w:tcPr>
            <w:tcW w:type="dxa" w:w="4824"/>
          </w:tcPr>
          <w:p>
            <w:pPr>
              <w:jc w:val="left"/>
            </w:pPr>
            <w:r/>
            <w:r>
              <w:rPr>
                <w:b w:val="0"/>
                <w:sz w:val="18"/>
              </w:rPr>
              <w:t>None (GET request)</w:t>
            </w:r>
          </w:p>
        </w:tc>
      </w:tr>
      <w:tr>
        <w:tc>
          <w:tcPr>
            <w:tcW w:type="dxa" w:w="4824"/>
          </w:tcPr>
          <w:p>
            <w:pPr>
              <w:jc w:val="left"/>
            </w:pPr>
            <w:r/>
            <w:r>
              <w:rPr>
                <w:b w:val="0"/>
                <w:sz w:val="18"/>
              </w:rPr>
              <w:t>Attack Vectors</w:t>
            </w:r>
          </w:p>
        </w:tc>
        <w:tc>
          <w:tcPr>
            <w:tcW w:type="dxa" w:w="4824"/>
          </w:tcPr>
          <w:p>
            <w:pPr>
              <w:jc w:val="left"/>
            </w:pPr>
            <w:r/>
            <w:r>
              <w:rPr>
                <w:b w:val="0"/>
                <w:sz w:val="18"/>
              </w:rPr>
              <w:t>Unauthenticated HTTP GET</w:t>
            </w:r>
          </w:p>
        </w:tc>
      </w:tr>
      <w:tr>
        <w:tc>
          <w:tcPr>
            <w:tcW w:type="dxa" w:w="4824"/>
          </w:tcPr>
          <w:p>
            <w:pPr>
              <w:jc w:val="left"/>
            </w:pPr>
            <w:r/>
            <w:r>
              <w:rPr>
                <w:b w:val="0"/>
                <w:sz w:val="18"/>
              </w:rPr>
              <w:t>References</w:t>
            </w:r>
          </w:p>
        </w:tc>
        <w:tc>
          <w:tcPr>
            <w:tcW w:type="dxa" w:w="4824"/>
          </w:tcPr>
          <w:p>
            <w:pPr>
              <w:jc w:val="left"/>
            </w:pPr>
            <w:r/>
            <w:r>
              <w:rPr>
                <w:b w:val="0"/>
                <w:sz w:val="18"/>
              </w:rPr>
              <w:t>https://cwe.mitre.org/data/definitions/200.html</w:t>
            </w:r>
          </w:p>
        </w:tc>
      </w:tr>
    </w:tbl>
    <w:p/>
    <w:p>
      <w:r>
        <w:rPr>
          <w:b/>
          <w:sz w:val="19"/>
        </w:rPr>
        <w:t>Evidence</w:t>
      </w:r>
      <w:r>
        <w:rPr>
          <w:sz w:val="19"/>
        </w:rPr>
        <w:t xml:space="preserve">  </w:t>
      </w:r>
    </w:p>
    <w:p>
      <w:r>
        <w:rPr>
          <w:sz w:val="19"/>
        </w:rPr>
        <w:t>The following request returned the configuration JSON:</w:t>
      </w:r>
    </w:p>
    <w:p>
      <w:pPr>
        <w:shd w:val="clear" w:fill="F2F2F2"/>
      </w:pPr>
      <w:r>
        <w:rPr>
          <w:rFonts w:ascii="Courier New" w:hAnsi="Courier New"/>
          <w:sz w:val="16"/>
        </w:rPr>
        <w:t>curl -s https://demo.owasp-juice.shop//rest/admin/application-configuration</w:t>
      </w:r>
    </w:p>
    <w:p>
      <w:r>
        <w:rPr>
          <w:sz w:val="19"/>
        </w:rPr>
        <w:t xml:space="preserve">The response included </w:t>
      </w:r>
      <w:r>
        <w:rPr>
          <w:rFonts w:ascii="Courier New" w:hAnsi="Courier New"/>
          <w:sz w:val="19"/>
        </w:rPr>
        <w:t>privacyContactEmail: "donotreply@owasp-juice.shop"</w:t>
      </w:r>
      <w:r>
        <w:rPr>
          <w:sz w:val="19"/>
        </w:rPr>
        <w:t xml:space="preserve"> and </w:t>
      </w:r>
      <w:r>
        <w:rPr>
          <w:rFonts w:ascii="Courier New" w:hAnsi="Courier New"/>
          <w:sz w:val="19"/>
        </w:rPr>
        <w:t>"server": {"base": "http://localhost:3000"}</w:t>
      </w:r>
      <w:r>
        <w:rPr>
          <w:sz w:val="19"/>
        </w:rPr>
        <w:t xml:space="preserve"> among other sensitive details.</w:t>
      </w:r>
    </w:p>
    <w:p>
      <w:r>
        <w:rPr>
          <w:b/>
          <w:sz w:val="19"/>
        </w:rPr>
        <w:t>Remediation Guidance</w:t>
      </w:r>
    </w:p>
    <w:p>
      <w:pPr>
        <w:pStyle w:val="ListBullet"/>
      </w:pPr>
      <w:r>
        <w:rPr>
          <w:sz w:val="19"/>
        </w:rPr>
        <w:t>Require strong authentication and authorisation (e.g., admin role) for all administrative endpoints.</w:t>
      </w:r>
    </w:p>
    <w:p>
      <w:pPr>
        <w:pStyle w:val="ListBullet"/>
      </w:pPr>
      <w:r>
        <w:rPr>
          <w:sz w:val="19"/>
        </w:rPr>
        <w:t>Remove or relocate the configuration endpoint; do not expose internal settings to the client side.</w:t>
      </w:r>
    </w:p>
    <w:p>
      <w:pPr>
        <w:pStyle w:val="ListBullet"/>
      </w:pPr>
      <w:r>
        <w:rPr>
          <w:sz w:val="19"/>
        </w:rPr>
        <w:t>Audit the entire application for similar unauthenticated administrative routes.</w:t>
      </w:r>
    </w:p>
    <w:p>
      <w:r>
        <w:rPr>
          <w:b/>
          <w:color w:val="2B2D42"/>
          <w:sz w:val="23"/>
        </w:rPr>
        <w:t>2.8 Potential SSRF via Product Image URL — MEDIUM</w:t>
      </w:r>
    </w:p>
    <w:p>
      <w:r>
        <w:rPr>
          <w:b/>
          <w:sz w:val="19"/>
        </w:rPr>
        <w:t>Ref ID:</w:t>
      </w:r>
      <w:r>
        <w:rPr>
          <w:sz w:val="19"/>
        </w:rPr>
        <w:t xml:space="preserve"> PT-1-8</w:t>
      </w:r>
    </w:p>
    <w:p>
      <w:r>
        <w:rPr>
          <w:sz w:val="19"/>
        </w:rPr>
        <w:t>A product (ID 55, Sea Buckthorn Juice) contains a user‑controllable image URL field (</w:t>
      </w:r>
      <w:r>
        <w:rPr>
          <w:rFonts w:ascii="Courier New" w:hAnsi="Courier New"/>
          <w:sz w:val="19"/>
        </w:rPr>
        <w:t>sea_buckthorn_juice.jpg</w:t>
      </w:r>
      <w:r>
        <w:rPr>
          <w:sz w:val="19"/>
        </w:rPr>
        <w:t>) that the server may fetch to display the product image. Although immediate exploitation was not confirmed, this behaviour could allow an attacker to force the server to make requests to internal services or cloud metadata endpoints.</w:t>
      </w:r>
    </w:p>
    <w:p>
      <w:r>
        <w:rPr>
          <w:b/>
          <w:sz w:val="19"/>
        </w:rPr>
        <w:t>Vulnerability Details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B2D42"/>
          </w:tcPr>
          <w:p>
            <w:pPr>
              <w:jc w:val="left"/>
            </w:pPr>
            <w:r/>
            <w:r>
              <w:rPr>
                <w:b/>
                <w:color w:val="FFFFFF"/>
                <w:sz w:val="18"/>
              </w:rPr>
              <w:t>Field</w:t>
            </w:r>
          </w:p>
        </w:tc>
        <w:tc>
          <w:tcPr>
            <w:tcW w:type="dxa" w:w="4824"/>
            <w:shd w:val="clear" w:fill="2B2D42"/>
          </w:tcPr>
          <w:p>
            <w:pPr>
              <w:jc w:val="left"/>
            </w:pPr>
            <w:r/>
            <w:r>
              <w:rPr>
                <w:b/>
                <w:color w:val="FFFFFF"/>
                <w:sz w:val="18"/>
              </w:rPr>
              <w:t>Value</w:t>
            </w:r>
          </w:p>
        </w:tc>
      </w:tr>
      <w:tr>
        <w:tc>
          <w:tcPr>
            <w:tcW w:type="dxa" w:w="4824"/>
          </w:tcPr>
          <w:p>
            <w:pPr>
              <w:jc w:val="left"/>
            </w:pPr>
            <w:r/>
            <w:r>
              <w:rPr>
                <w:b w:val="0"/>
                <w:sz w:val="18"/>
              </w:rPr>
              <w:t>Affects</w:t>
            </w:r>
          </w:p>
        </w:tc>
        <w:tc>
          <w:tcPr>
            <w:tcW w:type="dxa" w:w="4824"/>
          </w:tcPr>
          <w:p>
            <w:pPr>
              <w:jc w:val="left"/>
            </w:pPr>
            <w:r/>
            <w:r>
              <w:rPr>
                <w:b w:val="0"/>
                <w:sz w:val="18"/>
              </w:rPr>
              <w:t>https://demo.owasp-juice.shop//api/Products/55</w:t>
            </w:r>
          </w:p>
        </w:tc>
      </w:tr>
      <w:tr>
        <w:tc>
          <w:tcPr>
            <w:tcW w:type="dxa" w:w="4824"/>
          </w:tcPr>
          <w:p>
            <w:pPr>
              <w:jc w:val="left"/>
            </w:pPr>
            <w:r/>
            <w:r>
              <w:rPr>
                <w:b w:val="0"/>
                <w:sz w:val="18"/>
              </w:rPr>
              <w:t>Parameter(s)</w:t>
            </w:r>
          </w:p>
        </w:tc>
        <w:tc>
          <w:tcPr>
            <w:tcW w:type="dxa" w:w="4824"/>
          </w:tcPr>
          <w:p>
            <w:pPr>
              <w:jc w:val="left"/>
            </w:pPr>
            <w:r/>
            <w:r>
              <w:rPr>
                <w:b w:val="0"/>
                <w:sz w:val="18"/>
              </w:rPr>
              <w:t>image (JSON field)</w:t>
            </w:r>
          </w:p>
        </w:tc>
      </w:tr>
      <w:tr>
        <w:tc>
          <w:tcPr>
            <w:tcW w:type="dxa" w:w="4824"/>
          </w:tcPr>
          <w:p>
            <w:pPr>
              <w:jc w:val="left"/>
            </w:pPr>
            <w:r/>
            <w:r>
              <w:rPr>
                <w:b w:val="0"/>
                <w:sz w:val="18"/>
              </w:rPr>
              <w:t>Attack Vectors</w:t>
            </w:r>
          </w:p>
        </w:tc>
        <w:tc>
          <w:tcPr>
            <w:tcW w:type="dxa" w:w="4824"/>
          </w:tcPr>
          <w:p>
            <w:pPr>
              <w:jc w:val="left"/>
            </w:pPr>
            <w:r/>
            <w:r>
              <w:rPr>
                <w:b w:val="0"/>
                <w:sz w:val="18"/>
              </w:rPr>
              <w:t>PATCH or POST request with malicious URL targeting `http://localhost`, `http://127.0.0.1:3000`, or `http://169.254.169.254`</w:t>
            </w:r>
          </w:p>
        </w:tc>
      </w:tr>
      <w:tr>
        <w:tc>
          <w:tcPr>
            <w:tcW w:type="dxa" w:w="4824"/>
          </w:tcPr>
          <w:p>
            <w:pPr>
              <w:jc w:val="left"/>
            </w:pPr>
            <w:r/>
            <w:r>
              <w:rPr>
                <w:b w:val="0"/>
                <w:sz w:val="18"/>
              </w:rPr>
              <w:t>References</w:t>
            </w:r>
          </w:p>
        </w:tc>
        <w:tc>
          <w:tcPr>
            <w:tcW w:type="dxa" w:w="4824"/>
          </w:tcPr>
          <w:p>
            <w:pPr>
              <w:jc w:val="left"/>
            </w:pPr>
            <w:r/>
            <w:r>
              <w:rPr>
                <w:b w:val="0"/>
                <w:sz w:val="18"/>
              </w:rPr>
              <w:t>https://cwe.mitre.org/data/definitions/918.html</w:t>
            </w:r>
          </w:p>
        </w:tc>
      </w:tr>
    </w:tbl>
    <w:p/>
    <w:p>
      <w:r>
        <w:rPr>
          <w:b/>
          <w:sz w:val="19"/>
        </w:rPr>
        <w:t>Evidence</w:t>
      </w:r>
      <w:r>
        <w:rPr>
          <w:sz w:val="19"/>
        </w:rPr>
        <w:t xml:space="preserve">  </w:t>
      </w:r>
    </w:p>
    <w:p>
      <w:r>
        <w:rPr>
          <w:sz w:val="19"/>
        </w:rPr>
        <w:t xml:space="preserve">The product data for ID 55 includes an </w:t>
      </w:r>
      <w:r>
        <w:rPr>
          <w:rFonts w:ascii="Courier New" w:hAnsi="Courier New"/>
          <w:sz w:val="19"/>
        </w:rPr>
        <w:t>image</w:t>
      </w:r>
      <w:r>
        <w:rPr>
          <w:sz w:val="19"/>
        </w:rPr>
        <w:t xml:space="preserve"> field:</w:t>
      </w:r>
    </w:p>
    <w:p>
      <w:pPr>
        <w:shd w:val="clear" w:fill="F2F2F2"/>
      </w:pPr>
      <w:r>
        <w:rPr>
          <w:rFonts w:ascii="Courier New" w:hAnsi="Courier New"/>
          <w:sz w:val="16"/>
        </w:rPr>
        <w:t>{"id":55,"name":"Sea Buckthorn Juice","image":"sea_buckthorn_juice.jpg"}</w:t>
      </w:r>
    </w:p>
    <w:p>
      <w:r>
        <w:rPr>
          <w:sz w:val="19"/>
        </w:rPr>
        <w:t>A PATCH attempt to change the image to an internal URL returned HTTP 500, indicating the endpoint exists but may require authentication or a different method. Further exploitation efforts were spawned to dedicated contexts.</w:t>
      </w:r>
    </w:p>
    <w:p>
      <w:r>
        <w:rPr>
          <w:b/>
          <w:sz w:val="19"/>
        </w:rPr>
        <w:t>Remediation Guidance</w:t>
      </w:r>
    </w:p>
    <w:p>
      <w:pPr>
        <w:pStyle w:val="ListBullet"/>
      </w:pPr>
      <w:r>
        <w:rPr>
          <w:sz w:val="19"/>
        </w:rPr>
        <w:t>Validate and sanitise all user‑supplied URLs; implement an allow‑list of permitted domains.</w:t>
      </w:r>
    </w:p>
    <w:p>
      <w:pPr>
        <w:pStyle w:val="ListBullet"/>
      </w:pPr>
      <w:r>
        <w:rPr>
          <w:sz w:val="19"/>
        </w:rPr>
        <w:t>Disable the ability for users to modify image URLs, or proxy the request through a safe image retrieval service.</w:t>
      </w:r>
    </w:p>
    <w:p>
      <w:pPr>
        <w:pStyle w:val="ListBullet"/>
      </w:pPr>
      <w:r>
        <w:rPr>
          <w:sz w:val="19"/>
        </w:rPr>
        <w:t>Block outbound requests to RFC 1918 (private) addresses and cloud metadata IPs at the network layer.</w:t>
      </w:r>
    </w:p>
    <w:p>
      <w:r>
        <w:rPr>
          <w:b/>
          <w:color w:val="2B2D42"/>
          <w:sz w:val="23"/>
        </w:rPr>
        <w:t>2.9 Information Disclosure via HTTP Headers — LOW</w:t>
      </w:r>
    </w:p>
    <w:p>
      <w:r>
        <w:rPr>
          <w:b/>
          <w:sz w:val="19"/>
        </w:rPr>
        <w:t>Ref ID:</w:t>
      </w:r>
      <w:r>
        <w:rPr>
          <w:sz w:val="19"/>
        </w:rPr>
        <w:t xml:space="preserve"> PT-1-9</w:t>
      </w:r>
    </w:p>
    <w:p>
      <w:r>
        <w:rPr>
          <w:sz w:val="19"/>
        </w:rPr>
        <w:t>Unusual HTTP response headers (e.g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57D"/>
        <w:sz w:val="15"/>
      </w:rPr>
      <w:t>CONFIDENTIAL  ·  RMW-PenStrike  ·  www.rmw-penstrike.com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