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3946"/>
          <w:sz w:val="22"/>
        </w:rPr>
        <w:t>PENETRATION TESTING REPORT  —  CONFIDENTIAL</w:t>
      </w:r>
    </w:p>
    <w:p/>
    <w:p>
      <w:r>
        <w:rPr>
          <w:b/>
          <w:color w:val="2B2D42"/>
          <w:sz w:val="36"/>
        </w:rPr>
        <w:t>Penetration Testing Report</w:t>
      </w:r>
    </w:p>
    <w:p>
      <w:r>
        <w:rPr>
          <w:b/>
          <w:sz w:val="19"/>
        </w:rPr>
        <w:t>Date:</w:t>
      </w:r>
      <w:r>
        <w:rPr>
          <w:sz w:val="19"/>
        </w:rPr>
        <w:t xml:space="preserve"> 2026-06-20</w:t>
      </w:r>
    </w:p>
    <w:p>
      <w:r>
        <w:rPr>
          <w:b/>
          <w:sz w:val="19"/>
        </w:rPr>
        <w:t>Prepared by:</w:t>
      </w:r>
      <w:r>
        <w:rPr>
          <w:sz w:val="19"/>
        </w:rPr>
        <w:t xml:space="preserve"> RMW-PenStrike</w:t>
      </w:r>
    </w:p>
    <w:p>
      <w:r>
        <w:rPr>
          <w:b/>
          <w:sz w:val="19"/>
        </w:rPr>
        <w:t>Classification:</w:t>
      </w:r>
      <w:r>
        <w:rPr>
          <w:sz w:val="19"/>
        </w:rPr>
        <w:t xml:space="preserve"> Client Confidential</w:t>
      </w:r>
    </w:p>
    <w:p>
      <w:r>
        <w:rPr>
          <w:b/>
          <w:color w:val="E63946"/>
          <w:sz w:val="28"/>
        </w:rPr>
        <w:t>Document Control</w:t>
      </w:r>
    </w:p>
    <w:p>
      <w:r>
        <w:rPr>
          <w:b/>
          <w:color w:val="2B2D42"/>
          <w:sz w:val="23"/>
        </w:rPr>
        <w:t>Client Confidentiality</w:t>
      </w:r>
    </w:p>
    <w:p>
      <w:r>
        <w:rPr>
          <w:sz w:val="19"/>
        </w:rPr>
        <w:t>This document contains Client Confidential information and may not be copied without written permission.</w:t>
      </w:r>
    </w:p>
    <w:p>
      <w:r>
        <w:rPr>
          <w:b/>
          <w:color w:val="2B2D42"/>
          <w:sz w:val="23"/>
        </w:rPr>
        <w:t>Document Version Control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B2D42"/>
          </w:tcPr>
          <w:p>
            <w:pPr>
              <w:jc w:val="left"/>
            </w:pPr>
            <w:r/>
            <w:r>
              <w:rPr>
                <w:b/>
                <w:color w:val="FFFFFF"/>
                <w:sz w:val="18"/>
              </w:rPr>
              <w:t>Issue No.</w:t>
            </w:r>
          </w:p>
        </w:tc>
        <w:tc>
          <w:tcPr>
            <w:tcW w:type="dxa" w:w="2412"/>
            <w:shd w:val="clear" w:fill="2B2D42"/>
          </w:tcPr>
          <w:p>
            <w:pPr>
              <w:jc w:val="left"/>
            </w:pPr>
            <w:r/>
            <w:r>
              <w:rPr>
                <w:b/>
                <w:color w:val="FFFFFF"/>
                <w:sz w:val="18"/>
              </w:rPr>
              <w:t>Issue Date</w:t>
            </w:r>
          </w:p>
        </w:tc>
        <w:tc>
          <w:tcPr>
            <w:tcW w:type="dxa" w:w="2412"/>
            <w:shd w:val="clear" w:fill="2B2D42"/>
          </w:tcPr>
          <w:p>
            <w:pPr>
              <w:jc w:val="left"/>
            </w:pPr>
            <w:r/>
            <w:r>
              <w:rPr>
                <w:b/>
                <w:color w:val="FFFFFF"/>
                <w:sz w:val="18"/>
              </w:rPr>
              <w:t>Issued By</w:t>
            </w:r>
          </w:p>
        </w:tc>
        <w:tc>
          <w:tcPr>
            <w:tcW w:type="dxa" w:w="2412"/>
            <w:shd w:val="clear" w:fill="2B2D42"/>
          </w:tcPr>
          <w:p>
            <w:pPr>
              <w:jc w:val="left"/>
            </w:pPr>
            <w:r/>
            <w:r>
              <w:rPr>
                <w:b/>
                <w:color w:val="FFFFFF"/>
                <w:sz w:val="18"/>
              </w:rPr>
              <w:t>Change Description</w:t>
            </w:r>
          </w:p>
        </w:tc>
      </w:tr>
      <w:tr>
        <w:tc>
          <w:tcPr>
            <w:tcW w:type="dxa" w:w="2412"/>
          </w:tcPr>
          <w:p>
            <w:pPr>
              <w:jc w:val="left"/>
            </w:pPr>
            <w:r/>
            <w:r>
              <w:rPr>
                <w:b w:val="0"/>
                <w:sz w:val="18"/>
              </w:rPr>
              <w:t>0.1</w:t>
            </w:r>
          </w:p>
        </w:tc>
        <w:tc>
          <w:tcPr>
            <w:tcW w:type="dxa" w:w="2412"/>
          </w:tcPr>
          <w:p>
            <w:pPr>
              <w:jc w:val="left"/>
            </w:pPr>
            <w:r/>
            <w:r>
              <w:rPr>
                <w:b w:val="0"/>
                <w:sz w:val="18"/>
              </w:rPr>
              <w:t>2026-06-20</w:t>
            </w:r>
          </w:p>
        </w:tc>
        <w:tc>
          <w:tcPr>
            <w:tcW w:type="dxa" w:w="2412"/>
          </w:tcPr>
          <w:p>
            <w:pPr>
              <w:jc w:val="left"/>
            </w:pPr>
            <w:r/>
            <w:r>
              <w:rPr>
                <w:b w:val="0"/>
                <w:sz w:val="18"/>
              </w:rPr>
              <w:t>RMW-PenStrike</w:t>
            </w:r>
          </w:p>
        </w:tc>
        <w:tc>
          <w:tcPr>
            <w:tcW w:type="dxa" w:w="2412"/>
          </w:tcPr>
          <w:p>
            <w:pPr>
              <w:jc w:val="left"/>
            </w:pPr>
            <w:r/>
            <w:r>
              <w:rPr>
                <w:b w:val="0"/>
                <w:sz w:val="18"/>
              </w:rPr>
              <w:t>Draft for internal review</w:t>
            </w:r>
          </w:p>
        </w:tc>
      </w:tr>
      <w:tr>
        <w:tc>
          <w:tcPr>
            <w:tcW w:type="dxa" w:w="2412"/>
          </w:tcPr>
          <w:p>
            <w:pPr>
              <w:jc w:val="left"/>
            </w:pPr>
            <w:r/>
            <w:r>
              <w:rPr>
                <w:b w:val="0"/>
                <w:sz w:val="18"/>
              </w:rPr>
              <w:t>1.0</w:t>
            </w:r>
          </w:p>
        </w:tc>
        <w:tc>
          <w:tcPr>
            <w:tcW w:type="dxa" w:w="2412"/>
          </w:tcPr>
          <w:p>
            <w:pPr>
              <w:jc w:val="left"/>
            </w:pPr>
            <w:r/>
            <w:r>
              <w:rPr>
                <w:b w:val="0"/>
                <w:sz w:val="18"/>
              </w:rPr>
              <w:t>2026-06-20</w:t>
            </w:r>
          </w:p>
        </w:tc>
        <w:tc>
          <w:tcPr>
            <w:tcW w:type="dxa" w:w="2412"/>
          </w:tcPr>
          <w:p>
            <w:pPr>
              <w:jc w:val="left"/>
            </w:pPr>
            <w:r/>
            <w:r>
              <w:rPr>
                <w:b w:val="0"/>
                <w:sz w:val="18"/>
              </w:rPr>
              <w:t>RMW-PenStrike</w:t>
            </w:r>
          </w:p>
        </w:tc>
        <w:tc>
          <w:tcPr>
            <w:tcW w:type="dxa" w:w="2412"/>
          </w:tcPr>
          <w:p>
            <w:pPr>
              <w:jc w:val="left"/>
            </w:pPr>
            <w:r/>
            <w:r>
              <w:rPr>
                <w:b w:val="0"/>
                <w:sz w:val="18"/>
              </w:rPr>
              <w:t>Released to client</w:t>
            </w:r>
          </w:p>
        </w:tc>
      </w:tr>
    </w:tbl>
    <w:p/>
    <w:p>
      <w:r>
        <w:rPr>
          <w:b/>
          <w:color w:val="E63946"/>
          <w:sz w:val="28"/>
        </w:rPr>
        <w:t>Table of Contents</w:t>
      </w:r>
    </w:p>
    <w:p>
      <w:r>
        <w:rPr>
          <w:sz w:val="19"/>
        </w:rPr>
        <w:t>1. Executive Summary ................................ 3</w:t>
      </w:r>
    </w:p>
    <w:p>
      <w:r>
        <w:rPr>
          <w:sz w:val="19"/>
        </w:rPr>
        <w:t xml:space="preserve">   1.1 Assessment Summary .............................. 3</w:t>
      </w:r>
    </w:p>
    <w:p>
      <w:r>
        <w:rPr>
          <w:sz w:val="19"/>
        </w:rPr>
        <w:t xml:space="preserve">   1.2 Strategic Recommendations ....................... 4</w:t>
      </w:r>
    </w:p>
    <w:p>
      <w:r>
        <w:rPr>
          <w:sz w:val="19"/>
        </w:rPr>
        <w:t>2. 1. Technical Summary ................................ 5</w:t>
      </w:r>
    </w:p>
    <w:p>
      <w:r>
        <w:rPr>
          <w:sz w:val="19"/>
        </w:rPr>
        <w:t xml:space="preserve">   2.1 1.1 Scope ........................................ 5</w:t>
      </w:r>
    </w:p>
    <w:p>
      <w:r>
        <w:rPr>
          <w:sz w:val="19"/>
        </w:rPr>
        <w:t xml:space="preserve">   2.2 1.2 Post Assessment Clean-up ..................... 5</w:t>
      </w:r>
    </w:p>
    <w:p>
      <w:r>
        <w:rPr>
          <w:sz w:val="19"/>
        </w:rPr>
        <w:t xml:space="preserve">   2.3 1.3 Risk Ratings ................................. 5</w:t>
      </w:r>
    </w:p>
    <w:p>
      <w:r>
        <w:rPr>
          <w:sz w:val="19"/>
        </w:rPr>
        <w:t xml:space="preserve">   2.4 1.4 Findings Overview ............................ 6</w:t>
      </w:r>
    </w:p>
    <w:p>
      <w:r>
        <w:rPr>
          <w:sz w:val="19"/>
        </w:rPr>
        <w:t>3. 2. Technical Details ................................ 7</w:t>
      </w:r>
    </w:p>
    <w:p>
      <w:r>
        <w:rPr>
          <w:sz w:val="19"/>
        </w:rPr>
        <w:t xml:space="preserve">   3.1 2.1 Hardcoded Credentials in Login Page — HIGH ... 7</w:t>
      </w:r>
    </w:p>
    <w:p>
      <w:r>
        <w:rPr>
          <w:sz w:val="19"/>
        </w:rPr>
        <w:t xml:space="preserve">   3.2 2.2 Path Traversal to Sensitive File — HIGH ...... 8</w:t>
      </w:r>
    </w:p>
    <w:p>
      <w:r>
        <w:rPr>
          <w:sz w:val="19"/>
        </w:rPr>
        <w:t xml:space="preserve">   3.3 2.3 Reflected Cross-Site Scripting via eval() Injection — HIGH ................................................... 9</w:t>
      </w:r>
    </w:p>
    <w:p>
      <w:r>
        <w:rPr>
          <w:sz w:val="19"/>
        </w:rPr>
        <w:t xml:space="preserve">   3.4 2.4 Privilege Escalation via Client-Side Authorization — HIGH ................................................... 10</w:t>
      </w:r>
    </w:p>
    <w:p>
      <w:r>
        <w:rPr>
          <w:sz w:val="19"/>
        </w:rPr>
        <w:t>4. 3. Appendices ....................................... 11</w:t>
      </w:r>
    </w:p>
    <w:p>
      <w:r>
        <w:rPr>
          <w:sz w:val="19"/>
        </w:rPr>
        <w:t xml:space="preserve">   4.1 3.1 Penetration Testing Methodology .............. 11</w:t>
      </w:r>
    </w:p>
    <w:p>
      <w:r>
        <w:rPr>
          <w:b/>
          <w:color w:val="E63946"/>
          <w:sz w:val="28"/>
        </w:rPr>
        <w:t>Executive Summary</w:t>
      </w:r>
    </w:p>
    <w:p>
      <w:r>
        <w:rPr>
          <w:sz w:val="19"/>
        </w:rPr>
        <w:t xml:space="preserve">RMW-PenStrike was engaged to perform a web application penetration test against the target application hosted at https://google-gruyere.appspot.com. The objective of this assessment was to identify and exploit security vulnerabilities that could compromise the confidentiality, integrity, or availability of the application and its underlying data. During the engagement, multiple high‑severity issues were discovered, including hard‑coded credentials exposed in the login page, a path traversal allowing access to internal secrets, a reflected cross‑site scripting vulnerability due to unsafe use of </w:t>
      </w:r>
      <w:r>
        <w:rPr>
          <w:rFonts w:ascii="Courier New" w:hAnsi="Courier New"/>
          <w:sz w:val="19"/>
        </w:rPr>
        <w:t>eval()</w:t>
      </w:r>
      <w:r>
        <w:rPr>
          <w:sz w:val="19"/>
        </w:rPr>
        <w:t>, and an insecure authorization mechanism that permits unprivileged users to gain author‑level access. These findings collectively pose a significant risk, as they could be chained to achieve full compromise of user sessions, data theft, and privilege escalation. Immediate remediation of the identified vulnerabilities is strongly recommended.</w:t>
      </w:r>
    </w:p>
    <w:p>
      <w:r>
        <w:rPr>
          <w:b/>
          <w:color w:val="2B2D42"/>
          <w:sz w:val="23"/>
        </w:rPr>
        <w:t>Assessment Summary</w:t>
      </w:r>
    </w:p>
    <w:p>
      <w:r>
        <w:rPr>
          <w:sz w:val="19"/>
        </w:rPr>
        <w:t xml:space="preserve">The overall risk level for the application is </w:t>
      </w:r>
      <w:r>
        <w:rPr>
          <w:b/>
          <w:sz w:val="19"/>
        </w:rPr>
        <w:t>HIGH</w:t>
      </w:r>
      <w:r>
        <w:rPr>
          <w:sz w:val="19"/>
        </w:rPr>
        <w:t xml:space="preserve">.  </w:t>
      </w:r>
    </w:p>
    <w:p>
      <w:r>
        <w:rPr>
          <w:sz w:val="19"/>
        </w:rPr>
        <w:t>Multiple high‑severity vulnerabilities were identified during testing. An attacker could leverage these weaknesses to steal sensitive information, take control of user sessions, and escalate privileges, ultimately undermining the security posture of the application and its underlying infrastructure. Prompt action is required to remediate these issues to prevent exploitation.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2B2D42"/>
          </w:tcPr>
          <w:p>
            <w:pPr>
              <w:jc w:val="left"/>
            </w:pPr>
            <w:r/>
            <w:r>
              <w:rPr>
                <w:b/>
                <w:color w:val="FFFFFF"/>
                <w:sz w:val="18"/>
              </w:rPr>
              <w:t>Phase</w:t>
            </w:r>
          </w:p>
        </w:tc>
        <w:tc>
          <w:tcPr>
            <w:tcW w:type="dxa" w:w="1378"/>
            <w:shd w:val="clear" w:fill="2B2D42"/>
          </w:tcPr>
          <w:p>
            <w:pPr>
              <w:jc w:val="left"/>
            </w:pPr>
            <w:r/>
            <w:r>
              <w:rPr>
                <w:b/>
                <w:color w:val="FFFFFF"/>
                <w:sz w:val="18"/>
              </w:rPr>
              <w:t>Description</w:t>
            </w:r>
          </w:p>
        </w:tc>
        <w:tc>
          <w:tcPr>
            <w:tcW w:type="dxa" w:w="1378"/>
            <w:shd w:val="clear" w:fill="2B2D42"/>
          </w:tcPr>
          <w:p>
            <w:pPr>
              <w:jc w:val="left"/>
            </w:pPr>
            <w:r/>
            <w:r>
              <w:rPr>
                <w:b/>
                <w:color w:val="FFFFFF"/>
                <w:sz w:val="18"/>
              </w:rPr>
              <w:t>Critical</w:t>
            </w:r>
          </w:p>
        </w:tc>
        <w:tc>
          <w:tcPr>
            <w:tcW w:type="dxa" w:w="1378"/>
            <w:shd w:val="clear" w:fill="2B2D42"/>
          </w:tcPr>
          <w:p>
            <w:pPr>
              <w:jc w:val="left"/>
            </w:pPr>
            <w:r/>
            <w:r>
              <w:rPr>
                <w:b/>
                <w:color w:val="FFFFFF"/>
                <w:sz w:val="18"/>
              </w:rPr>
              <w:t>High</w:t>
            </w:r>
          </w:p>
        </w:tc>
        <w:tc>
          <w:tcPr>
            <w:tcW w:type="dxa" w:w="1378"/>
            <w:shd w:val="clear" w:fill="2B2D42"/>
          </w:tcPr>
          <w:p>
            <w:pPr>
              <w:jc w:val="left"/>
            </w:pPr>
            <w:r/>
            <w:r>
              <w:rPr>
                <w:b/>
                <w:color w:val="FFFFFF"/>
                <w:sz w:val="18"/>
              </w:rPr>
              <w:t>Medium</w:t>
            </w:r>
          </w:p>
        </w:tc>
        <w:tc>
          <w:tcPr>
            <w:tcW w:type="dxa" w:w="1378"/>
            <w:shd w:val="clear" w:fill="2B2D42"/>
          </w:tcPr>
          <w:p>
            <w:pPr>
              <w:jc w:val="left"/>
            </w:pPr>
            <w:r/>
            <w:r>
              <w:rPr>
                <w:b/>
                <w:color w:val="FFFFFF"/>
                <w:sz w:val="18"/>
              </w:rPr>
              <w:t>Low</w:t>
            </w:r>
          </w:p>
        </w:tc>
        <w:tc>
          <w:tcPr>
            <w:tcW w:type="dxa" w:w="1378"/>
            <w:shd w:val="clear" w:fill="2B2D42"/>
          </w:tcPr>
          <w:p>
            <w:pPr>
              <w:jc w:val="left"/>
            </w:pPr>
            <w:r/>
            <w:r>
              <w:rPr>
                <w:b/>
                <w:color w:val="FFFFFF"/>
                <w:sz w:val="18"/>
              </w:rPr>
              <w:t>Total</w:t>
            </w:r>
          </w:p>
        </w:tc>
      </w:tr>
      <w:tr>
        <w:tc>
          <w:tcPr>
            <w:tcW w:type="dxa" w:w="1378"/>
          </w:tcPr>
          <w:p>
            <w:pPr>
              <w:jc w:val="left"/>
            </w:pPr>
            <w:r/>
            <w:r>
              <w:rPr>
                <w:b w:val="0"/>
                <w:sz w:val="18"/>
              </w:rPr>
              <w:t>1</w:t>
            </w:r>
          </w:p>
        </w:tc>
        <w:tc>
          <w:tcPr>
            <w:tcW w:type="dxa" w:w="1378"/>
          </w:tcPr>
          <w:p>
            <w:pPr>
              <w:jc w:val="left"/>
            </w:pPr>
            <w:r/>
            <w:r>
              <w:rPr>
                <w:b w:val="0"/>
                <w:sz w:val="18"/>
              </w:rPr>
              <w:t>Web/API Penetration Testing</w:t>
            </w:r>
          </w:p>
        </w:tc>
        <w:tc>
          <w:tcPr>
            <w:tcW w:type="dxa" w:w="1378"/>
          </w:tcPr>
          <w:p>
            <w:pPr>
              <w:jc w:val="left"/>
            </w:pPr>
            <w:r/>
            <w:r>
              <w:rPr>
                <w:b w:val="0"/>
                <w:sz w:val="18"/>
              </w:rPr>
              <w:t>0</w:t>
            </w:r>
          </w:p>
        </w:tc>
        <w:tc>
          <w:tcPr>
            <w:tcW w:type="dxa" w:w="1378"/>
          </w:tcPr>
          <w:p>
            <w:pPr>
              <w:jc w:val="left"/>
            </w:pPr>
            <w:r/>
            <w:r>
              <w:rPr>
                <w:b w:val="0"/>
                <w:sz w:val="18"/>
              </w:rPr>
              <w:t>4</w:t>
            </w:r>
          </w:p>
        </w:tc>
        <w:tc>
          <w:tcPr>
            <w:tcW w:type="dxa" w:w="1378"/>
          </w:tcPr>
          <w:p>
            <w:pPr>
              <w:jc w:val="left"/>
            </w:pPr>
            <w:r/>
            <w:r>
              <w:rPr>
                <w:b w:val="0"/>
                <w:sz w:val="18"/>
              </w:rPr>
              <w:t>0</w:t>
            </w:r>
          </w:p>
        </w:tc>
        <w:tc>
          <w:tcPr>
            <w:tcW w:type="dxa" w:w="1378"/>
          </w:tcPr>
          <w:p>
            <w:pPr>
              <w:jc w:val="left"/>
            </w:pPr>
            <w:r/>
            <w:r>
              <w:rPr>
                <w:b w:val="0"/>
                <w:sz w:val="18"/>
              </w:rPr>
              <w:t>0</w:t>
            </w:r>
          </w:p>
        </w:tc>
        <w:tc>
          <w:tcPr>
            <w:tcW w:type="dxa" w:w="1378"/>
          </w:tcPr>
          <w:p>
            <w:pPr>
              <w:jc w:val="left"/>
            </w:pPr>
            <w:r/>
            <w:r>
              <w:rPr>
                <w:b w:val="0"/>
                <w:sz w:val="18"/>
              </w:rPr>
              <w:t>4</w:t>
            </w:r>
          </w:p>
        </w:tc>
      </w:tr>
      <w:tr>
        <w:tc>
          <w:tcPr>
            <w:tcW w:type="dxa" w:w="1378"/>
          </w:tcPr>
          <w:p>
            <w:pPr>
              <w:jc w:val="left"/>
            </w:pPr>
            <w:r/>
            <w:r>
              <w:rPr>
                <w:b w:val="0"/>
                <w:sz w:val="18"/>
              </w:rPr>
            </w:r>
          </w:p>
        </w:tc>
        <w:tc>
          <w:tcPr>
            <w:tcW w:type="dxa" w:w="1378"/>
          </w:tcPr>
          <w:p>
            <w:pPr>
              <w:jc w:val="left"/>
            </w:pPr>
            <w:r/>
            <w:r>
              <w:rPr>
                <w:b w:val="0"/>
                <w:sz w:val="18"/>
              </w:rPr>
              <w:t>**Total**</w:t>
            </w:r>
          </w:p>
        </w:tc>
        <w:tc>
          <w:tcPr>
            <w:tcW w:type="dxa" w:w="1378"/>
          </w:tcPr>
          <w:p>
            <w:pPr>
              <w:jc w:val="left"/>
            </w:pPr>
            <w:r/>
            <w:r>
              <w:rPr>
                <w:b w:val="0"/>
                <w:sz w:val="18"/>
              </w:rPr>
              <w:t>0</w:t>
            </w:r>
          </w:p>
        </w:tc>
        <w:tc>
          <w:tcPr>
            <w:tcW w:type="dxa" w:w="1378"/>
          </w:tcPr>
          <w:p>
            <w:pPr>
              <w:jc w:val="left"/>
            </w:pPr>
            <w:r/>
            <w:r>
              <w:rPr>
                <w:b w:val="0"/>
                <w:sz w:val="18"/>
              </w:rPr>
              <w:t>4</w:t>
            </w:r>
          </w:p>
        </w:tc>
        <w:tc>
          <w:tcPr>
            <w:tcW w:type="dxa" w:w="1378"/>
          </w:tcPr>
          <w:p>
            <w:pPr>
              <w:jc w:val="left"/>
            </w:pPr>
            <w:r/>
            <w:r>
              <w:rPr>
                <w:b w:val="0"/>
                <w:sz w:val="18"/>
              </w:rPr>
              <w:t>0</w:t>
            </w:r>
          </w:p>
        </w:tc>
        <w:tc>
          <w:tcPr>
            <w:tcW w:type="dxa" w:w="1378"/>
          </w:tcPr>
          <w:p>
            <w:pPr>
              <w:jc w:val="left"/>
            </w:pPr>
            <w:r/>
            <w:r>
              <w:rPr>
                <w:b w:val="0"/>
                <w:sz w:val="18"/>
              </w:rPr>
              <w:t>0</w:t>
            </w:r>
          </w:p>
        </w:tc>
        <w:tc>
          <w:tcPr>
            <w:tcW w:type="dxa" w:w="1378"/>
          </w:tcPr>
          <w:p>
            <w:pPr>
              <w:jc w:val="left"/>
            </w:pPr>
            <w:r/>
            <w:r>
              <w:rPr>
                <w:b w:val="0"/>
                <w:sz w:val="18"/>
              </w:rPr>
              <w:t>4</w:t>
            </w:r>
          </w:p>
        </w:tc>
      </w:tr>
    </w:tbl>
    <w:p/>
    <w:p>
      <w:r>
        <w:rPr>
          <w:b/>
          <w:color w:val="2B2D42"/>
          <w:sz w:val="23"/>
        </w:rPr>
        <w:t>Strategic Recommendations</w:t>
      </w:r>
    </w:p>
    <w:p>
      <w:pPr>
        <w:pStyle w:val="ListBullet"/>
      </w:pPr>
      <w:r>
        <w:rPr>
          <w:b/>
          <w:sz w:val="19"/>
        </w:rPr>
        <w:t>[HIGH]</w:t>
      </w:r>
      <w:r>
        <w:rPr>
          <w:sz w:val="19"/>
        </w:rPr>
        <w:t xml:space="preserve"> Remove hardcoded credential </w:t>
      </w:r>
      <w:r>
        <w:rPr>
          <w:rFonts w:ascii="Courier New" w:hAnsi="Courier New"/>
          <w:sz w:val="19"/>
        </w:rPr>
        <w:t>&lt;/td&gt;&lt;td&gt;</w:t>
      </w:r>
      <w:r>
        <w:rPr>
          <w:sz w:val="19"/>
        </w:rPr>
        <w:t xml:space="preserve"> from the login page source; store secrets in a secure secrets manager or environment variable.</w:t>
      </w:r>
    </w:p>
    <w:p>
      <w:pPr>
        <w:pStyle w:val="ListBullet"/>
      </w:pPr>
      <w:r>
        <w:rPr>
          <w:b/>
          <w:sz w:val="19"/>
        </w:rPr>
        <w:t>[HIGH]</w:t>
      </w:r>
      <w:r>
        <w:rPr>
          <w:sz w:val="19"/>
        </w:rPr>
        <w:t xml:space="preserve"> Apply strict path whitelisting and input sanitization to prevent path traversal attacks.</w:t>
      </w:r>
    </w:p>
    <w:p>
      <w:pPr>
        <w:pStyle w:val="ListBullet"/>
      </w:pPr>
      <w:r>
        <w:rPr>
          <w:b/>
          <w:sz w:val="19"/>
        </w:rPr>
        <w:t>[HIGH]</w:t>
      </w:r>
      <w:r>
        <w:rPr>
          <w:sz w:val="19"/>
        </w:rPr>
        <w:t xml:space="preserve"> Eliminate the use of </w:t>
      </w:r>
      <w:r>
        <w:rPr>
          <w:rFonts w:ascii="Courier New" w:hAnsi="Courier New"/>
          <w:sz w:val="19"/>
        </w:rPr>
        <w:t>eval()</w:t>
      </w:r>
      <w:r>
        <w:rPr>
          <w:sz w:val="19"/>
        </w:rPr>
        <w:t xml:space="preserve"> and any other dynamic code evaluation mechanisms; implement safe output encoding to prevent cross‑site scripting.</w:t>
      </w:r>
    </w:p>
    <w:p>
      <w:pPr>
        <w:pStyle w:val="ListBullet"/>
      </w:pPr>
      <w:r>
        <w:rPr>
          <w:b/>
          <w:sz w:val="19"/>
        </w:rPr>
        <w:t>[HIGH]</w:t>
      </w:r>
      <w:r>
        <w:rPr>
          <w:sz w:val="19"/>
        </w:rPr>
        <w:t xml:space="preserve"> Move all authorization logic to the server side; do not trust client‑supplied parameters such as </w:t>
      </w:r>
      <w:r>
        <w:rPr>
          <w:rFonts w:ascii="Courier New" w:hAnsi="Courier New"/>
          <w:sz w:val="19"/>
        </w:rPr>
        <w:t>is_author</w:t>
      </w:r>
      <w:r>
        <w:rPr>
          <w:sz w:val="19"/>
        </w:rPr>
        <w:t xml:space="preserve"> for access control decisions.</w:t>
      </w:r>
    </w:p>
    <w:p>
      <w:r>
        <w:rPr>
          <w:b/>
          <w:color w:val="E63946"/>
          <w:sz w:val="28"/>
        </w:rPr>
        <w:t>1. Technical Summary</w:t>
      </w:r>
    </w:p>
    <w:p>
      <w:r>
        <w:rPr>
          <w:b/>
          <w:color w:val="2B2D42"/>
          <w:sz w:val="23"/>
        </w:rPr>
        <w:t>1.1 Scope</w:t>
      </w:r>
    </w:p>
    <w:p>
      <w:r>
        <w:rPr>
          <w:sz w:val="19"/>
        </w:rPr>
        <w:t>The following target was in scope for this penetration test:</w:t>
      </w:r>
    </w:p>
    <w:p>
      <w:pPr>
        <w:pStyle w:val="ListBullet"/>
      </w:pPr>
      <w:r>
        <w:rPr>
          <w:b/>
          <w:sz w:val="19"/>
        </w:rPr>
        <w:t>https://google-gruyere.appspot.com</w:t>
      </w:r>
    </w:p>
    <w:p>
      <w:r>
        <w:rPr>
          <w:sz w:val="19"/>
        </w:rPr>
        <w:t xml:space="preserve">The assessment focused on the live Gruyere codelab application instance accessible via dynamic sub‑paths (e.g., </w:t>
      </w:r>
      <w:r>
        <w:rPr>
          <w:rFonts w:ascii="Courier New" w:hAnsi="Courier New"/>
          <w:sz w:val="19"/>
        </w:rPr>
        <w:t>https://google-gruyere.appspot.com/416902709325584161180924204263102047586/</w:t>
      </w:r>
      <w:r>
        <w:rPr>
          <w:sz w:val="19"/>
        </w:rPr>
        <w:t>) and its accompanying static documentation.</w:t>
      </w:r>
    </w:p>
    <w:p>
      <w:r>
        <w:rPr>
          <w:b/>
          <w:color w:val="2B2D42"/>
          <w:sz w:val="23"/>
        </w:rPr>
        <w:t>1.2 Post Assessment Clean-up</w:t>
      </w:r>
    </w:p>
    <w:p>
      <w:r>
        <w:rPr>
          <w:sz w:val="19"/>
        </w:rPr>
        <w:t xml:space="preserve">Any test accounts or artefacts created during the assessment (e.g., </w:t>
      </w:r>
      <w:r>
        <w:rPr>
          <w:rFonts w:ascii="Courier New" w:hAnsi="Courier New"/>
          <w:sz w:val="19"/>
        </w:rPr>
        <w:t>testuser123</w:t>
      </w:r>
      <w:r>
        <w:rPr>
          <w:sz w:val="19"/>
        </w:rPr>
        <w:t xml:space="preserve">, </w:t>
      </w:r>
      <w:r>
        <w:rPr>
          <w:rFonts w:ascii="Courier New" w:hAnsi="Courier New"/>
          <w:sz w:val="19"/>
        </w:rPr>
        <w:t>attacker</w:t>
      </w:r>
      <w:r>
        <w:rPr>
          <w:sz w:val="19"/>
        </w:rPr>
        <w:t>) should be disabled or removed to prevent unauthorised access after the engagement. All uploaded files and modified data must be purged.</w:t>
      </w:r>
    </w:p>
    <w:p>
      <w:r>
        <w:rPr>
          <w:b/>
          <w:color w:val="2B2D42"/>
          <w:sz w:val="23"/>
        </w:rPr>
        <w:t>1.3 Risk Ratings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B2D42"/>
          </w:tcPr>
          <w:p>
            <w:pPr>
              <w:jc w:val="left"/>
            </w:pPr>
            <w:r/>
            <w:r>
              <w:rPr>
                <w:b/>
                <w:color w:val="FFFFFF"/>
                <w:sz w:val="18"/>
              </w:rPr>
              <w:t>#</w:t>
            </w:r>
          </w:p>
        </w:tc>
        <w:tc>
          <w:tcPr>
            <w:tcW w:type="dxa" w:w="2412"/>
            <w:shd w:val="clear" w:fill="2B2D42"/>
          </w:tcPr>
          <w:p>
            <w:pPr>
              <w:jc w:val="left"/>
            </w:pPr>
            <w:r/>
            <w:r>
              <w:rPr>
                <w:b/>
                <w:color w:val="FFFFFF"/>
                <w:sz w:val="18"/>
              </w:rPr>
              <w:t>Risk Rating</w:t>
            </w:r>
          </w:p>
        </w:tc>
        <w:tc>
          <w:tcPr>
            <w:tcW w:type="dxa" w:w="2412"/>
            <w:shd w:val="clear" w:fill="2B2D42"/>
          </w:tcPr>
          <w:p>
            <w:pPr>
              <w:jc w:val="left"/>
            </w:pPr>
            <w:r/>
            <w:r>
              <w:rPr>
                <w:b/>
                <w:color w:val="FFFFFF"/>
                <w:sz w:val="18"/>
              </w:rPr>
              <w:t>CVSSv3 Score</w:t>
            </w:r>
          </w:p>
        </w:tc>
        <w:tc>
          <w:tcPr>
            <w:tcW w:type="dxa" w:w="2412"/>
            <w:shd w:val="clear" w:fill="2B2D42"/>
          </w:tcPr>
          <w:p>
            <w:pPr>
              <w:jc w:val="left"/>
            </w:pPr>
            <w:r/>
            <w:r>
              <w:rPr>
                <w:b/>
                <w:color w:val="FFFFFF"/>
                <w:sz w:val="18"/>
              </w:rPr>
              <w:t>Description</w:t>
            </w:r>
          </w:p>
        </w:tc>
      </w:tr>
      <w:tr>
        <w:tc>
          <w:tcPr>
            <w:tcW w:type="dxa" w:w="2412"/>
          </w:tcPr>
          <w:p>
            <w:pPr>
              <w:jc w:val="left"/>
            </w:pPr>
            <w:r/>
            <w:r>
              <w:rPr>
                <w:b w:val="0"/>
                <w:sz w:val="18"/>
              </w:rPr>
              <w:t>1</w:t>
            </w:r>
          </w:p>
        </w:tc>
        <w:tc>
          <w:tcPr>
            <w:tcW w:type="dxa" w:w="2412"/>
          </w:tcPr>
          <w:p>
            <w:pPr>
              <w:jc w:val="left"/>
            </w:pPr>
            <w:r/>
            <w:r>
              <w:rPr>
                <w:b w:val="0"/>
                <w:sz w:val="18"/>
              </w:rPr>
              <w:t>CRITICAL</w:t>
            </w:r>
          </w:p>
        </w:tc>
        <w:tc>
          <w:tcPr>
            <w:tcW w:type="dxa" w:w="2412"/>
          </w:tcPr>
          <w:p>
            <w:pPr>
              <w:jc w:val="left"/>
            </w:pPr>
            <w:r/>
            <w:r>
              <w:rPr>
                <w:b w:val="0"/>
                <w:sz w:val="18"/>
              </w:rPr>
              <w:t>9.0 - 10</w:t>
            </w:r>
          </w:p>
        </w:tc>
        <w:tc>
          <w:tcPr>
            <w:tcW w:type="dxa" w:w="2412"/>
          </w:tcPr>
          <w:p>
            <w:pPr>
              <w:jc w:val="left"/>
            </w:pPr>
            <w:r/>
            <w:r>
              <w:rPr>
                <w:b w:val="0"/>
                <w:sz w:val="18"/>
              </w:rPr>
              <w:t>Requires resolution as quickly as possible.</w:t>
            </w:r>
          </w:p>
        </w:tc>
      </w:tr>
      <w:tr>
        <w:tc>
          <w:tcPr>
            <w:tcW w:type="dxa" w:w="2412"/>
          </w:tcPr>
          <w:p>
            <w:pPr>
              <w:jc w:val="left"/>
            </w:pPr>
            <w:r/>
            <w:r>
              <w:rPr>
                <w:b w:val="0"/>
                <w:sz w:val="18"/>
              </w:rPr>
              <w:t>2</w:t>
            </w:r>
          </w:p>
        </w:tc>
        <w:tc>
          <w:tcPr>
            <w:tcW w:type="dxa" w:w="2412"/>
          </w:tcPr>
          <w:p>
            <w:pPr>
              <w:jc w:val="left"/>
            </w:pPr>
            <w:r/>
            <w:r>
              <w:rPr>
                <w:b w:val="0"/>
                <w:sz w:val="18"/>
              </w:rPr>
              <w:t>HIGH</w:t>
            </w:r>
          </w:p>
        </w:tc>
        <w:tc>
          <w:tcPr>
            <w:tcW w:type="dxa" w:w="2412"/>
          </w:tcPr>
          <w:p>
            <w:pPr>
              <w:jc w:val="left"/>
            </w:pPr>
            <w:r/>
            <w:r>
              <w:rPr>
                <w:b w:val="0"/>
                <w:sz w:val="18"/>
              </w:rPr>
              <w:t>7.0 - 8.9</w:t>
            </w:r>
          </w:p>
        </w:tc>
        <w:tc>
          <w:tcPr>
            <w:tcW w:type="dxa" w:w="2412"/>
          </w:tcPr>
          <w:p>
            <w:pPr>
              <w:jc w:val="left"/>
            </w:pPr>
            <w:r/>
            <w:r>
              <w:rPr>
                <w:b w:val="0"/>
                <w:sz w:val="18"/>
              </w:rPr>
              <w:t>Requires resolution in a short term.</w:t>
            </w:r>
          </w:p>
        </w:tc>
      </w:tr>
      <w:tr>
        <w:tc>
          <w:tcPr>
            <w:tcW w:type="dxa" w:w="2412"/>
          </w:tcPr>
          <w:p>
            <w:pPr>
              <w:jc w:val="left"/>
            </w:pPr>
            <w:r/>
            <w:r>
              <w:rPr>
                <w:b w:val="0"/>
                <w:sz w:val="18"/>
              </w:rPr>
              <w:t>3</w:t>
            </w:r>
          </w:p>
        </w:tc>
        <w:tc>
          <w:tcPr>
            <w:tcW w:type="dxa" w:w="2412"/>
          </w:tcPr>
          <w:p>
            <w:pPr>
              <w:jc w:val="left"/>
            </w:pPr>
            <w:r/>
            <w:r>
              <w:rPr>
                <w:b w:val="0"/>
                <w:sz w:val="18"/>
              </w:rPr>
              <w:t>MEDIUM</w:t>
            </w:r>
          </w:p>
        </w:tc>
        <w:tc>
          <w:tcPr>
            <w:tcW w:type="dxa" w:w="2412"/>
          </w:tcPr>
          <w:p>
            <w:pPr>
              <w:jc w:val="left"/>
            </w:pPr>
            <w:r/>
            <w:r>
              <w:rPr>
                <w:b w:val="0"/>
                <w:sz w:val="18"/>
              </w:rPr>
              <w:t>4.0 - 6.9</w:t>
            </w:r>
          </w:p>
        </w:tc>
        <w:tc>
          <w:tcPr>
            <w:tcW w:type="dxa" w:w="2412"/>
          </w:tcPr>
          <w:p>
            <w:pPr>
              <w:jc w:val="left"/>
            </w:pPr>
            <w:r/>
            <w:r>
              <w:rPr>
                <w:b w:val="0"/>
                <w:sz w:val="18"/>
              </w:rPr>
              <w:t>Should be resolved throughout ongoing maintenance.</w:t>
            </w:r>
          </w:p>
        </w:tc>
      </w:tr>
      <w:tr>
        <w:tc>
          <w:tcPr>
            <w:tcW w:type="dxa" w:w="2412"/>
          </w:tcPr>
          <w:p>
            <w:pPr>
              <w:jc w:val="left"/>
            </w:pPr>
            <w:r/>
            <w:r>
              <w:rPr>
                <w:b w:val="0"/>
                <w:sz w:val="18"/>
              </w:rPr>
              <w:t>4</w:t>
            </w:r>
          </w:p>
        </w:tc>
        <w:tc>
          <w:tcPr>
            <w:tcW w:type="dxa" w:w="2412"/>
          </w:tcPr>
          <w:p>
            <w:pPr>
              <w:jc w:val="left"/>
            </w:pPr>
            <w:r/>
            <w:r>
              <w:rPr>
                <w:b w:val="0"/>
                <w:sz w:val="18"/>
              </w:rPr>
              <w:t>LOW</w:t>
            </w:r>
          </w:p>
        </w:tc>
        <w:tc>
          <w:tcPr>
            <w:tcW w:type="dxa" w:w="2412"/>
          </w:tcPr>
          <w:p>
            <w:pPr>
              <w:jc w:val="left"/>
            </w:pPr>
            <w:r/>
            <w:r>
              <w:rPr>
                <w:b w:val="0"/>
                <w:sz w:val="18"/>
              </w:rPr>
              <w:t>1.0 - 3.9</w:t>
            </w:r>
          </w:p>
        </w:tc>
        <w:tc>
          <w:tcPr>
            <w:tcW w:type="dxa" w:w="2412"/>
          </w:tcPr>
          <w:p>
            <w:pPr>
              <w:jc w:val="left"/>
            </w:pPr>
            <w:r/>
            <w:r>
              <w:rPr>
                <w:b w:val="0"/>
                <w:sz w:val="18"/>
              </w:rPr>
              <w:t>Should be addressed as part of routine maintenance.</w:t>
            </w:r>
          </w:p>
        </w:tc>
      </w:tr>
      <w:tr>
        <w:tc>
          <w:tcPr>
            <w:tcW w:type="dxa" w:w="2412"/>
          </w:tcPr>
          <w:p>
            <w:pPr>
              <w:jc w:val="left"/>
            </w:pPr>
            <w:r/>
            <w:r>
              <w:rPr>
                <w:b w:val="0"/>
                <w:sz w:val="18"/>
              </w:rPr>
              <w:t>5</w:t>
            </w:r>
          </w:p>
        </w:tc>
        <w:tc>
          <w:tcPr>
            <w:tcW w:type="dxa" w:w="2412"/>
          </w:tcPr>
          <w:p>
            <w:pPr>
              <w:jc w:val="left"/>
            </w:pPr>
            <w:r/>
            <w:r>
              <w:rPr>
                <w:b w:val="0"/>
                <w:sz w:val="18"/>
              </w:rPr>
              <w:t>INFO</w:t>
            </w:r>
          </w:p>
        </w:tc>
        <w:tc>
          <w:tcPr>
            <w:tcW w:type="dxa" w:w="2412"/>
          </w:tcPr>
          <w:p>
            <w:pPr>
              <w:jc w:val="left"/>
            </w:pPr>
            <w:r/>
            <w:r>
              <w:rPr>
                <w:b w:val="0"/>
                <w:sz w:val="18"/>
              </w:rPr>
              <w:t>0 - 0.9</w:t>
            </w:r>
          </w:p>
        </w:tc>
        <w:tc>
          <w:tcPr>
            <w:tcW w:type="dxa" w:w="2412"/>
          </w:tcPr>
          <w:p>
            <w:pPr>
              <w:jc w:val="left"/>
            </w:pPr>
            <w:r/>
            <w:r>
              <w:rPr>
                <w:b w:val="0"/>
                <w:sz w:val="18"/>
              </w:rPr>
              <w:t>Reported for information only.</w:t>
            </w:r>
          </w:p>
        </w:tc>
      </w:tr>
    </w:tbl>
    <w:p/>
    <w:p>
      <w:r>
        <w:rPr>
          <w:b/>
          <w:color w:val="2B2D42"/>
          <w:sz w:val="23"/>
        </w:rPr>
        <w:t>1.4 Findings Overview</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B2D42"/>
          </w:tcPr>
          <w:p>
            <w:pPr>
              <w:jc w:val="left"/>
            </w:pPr>
            <w:r/>
            <w:r>
              <w:rPr>
                <w:b/>
                <w:color w:val="FFFFFF"/>
                <w:sz w:val="18"/>
              </w:rPr>
              <w:t>Ref</w:t>
            </w:r>
          </w:p>
        </w:tc>
        <w:tc>
          <w:tcPr>
            <w:tcW w:type="dxa" w:w="3216"/>
            <w:shd w:val="clear" w:fill="2B2D42"/>
          </w:tcPr>
          <w:p>
            <w:pPr>
              <w:jc w:val="left"/>
            </w:pPr>
            <w:r/>
            <w:r>
              <w:rPr>
                <w:b/>
                <w:color w:val="FFFFFF"/>
                <w:sz w:val="18"/>
              </w:rPr>
              <w:t>Description</w:t>
            </w:r>
          </w:p>
        </w:tc>
        <w:tc>
          <w:tcPr>
            <w:tcW w:type="dxa" w:w="3216"/>
            <w:shd w:val="clear" w:fill="2B2D42"/>
          </w:tcPr>
          <w:p>
            <w:pPr>
              <w:jc w:val="left"/>
            </w:pPr>
            <w:r/>
            <w:r>
              <w:rPr>
                <w:b/>
                <w:color w:val="FFFFFF"/>
                <w:sz w:val="18"/>
              </w:rPr>
              <w:t>Risk</w:t>
            </w:r>
          </w:p>
        </w:tc>
      </w:tr>
      <w:tr>
        <w:tc>
          <w:tcPr>
            <w:tcW w:type="dxa" w:w="3216"/>
          </w:tcPr>
          <w:p>
            <w:pPr>
              <w:jc w:val="left"/>
            </w:pPr>
            <w:r/>
            <w:r>
              <w:rPr>
                <w:b w:val="0"/>
                <w:sz w:val="18"/>
              </w:rPr>
              <w:t>PT-1-1</w:t>
            </w:r>
          </w:p>
        </w:tc>
        <w:tc>
          <w:tcPr>
            <w:tcW w:type="dxa" w:w="3216"/>
          </w:tcPr>
          <w:p>
            <w:pPr>
              <w:jc w:val="left"/>
            </w:pPr>
            <w:r/>
            <w:r>
              <w:rPr>
                <w:b w:val="0"/>
                <w:sz w:val="18"/>
              </w:rPr>
              <w:t>Hardcoded Credentials in Login Page</w:t>
            </w:r>
          </w:p>
        </w:tc>
        <w:tc>
          <w:tcPr>
            <w:tcW w:type="dxa" w:w="3216"/>
            <w:shd w:val="clear" w:fill="F4845F"/>
          </w:tcPr>
          <w:p>
            <w:pPr>
              <w:jc w:val="center"/>
            </w:pPr>
            <w:r/>
            <w:r>
              <w:rPr>
                <w:b/>
                <w:color w:val="FFFFFF"/>
                <w:sz w:val="18"/>
              </w:rPr>
              <w:t>HIGH</w:t>
            </w:r>
          </w:p>
        </w:tc>
      </w:tr>
      <w:tr>
        <w:tc>
          <w:tcPr>
            <w:tcW w:type="dxa" w:w="3216"/>
          </w:tcPr>
          <w:p>
            <w:pPr>
              <w:jc w:val="left"/>
            </w:pPr>
            <w:r/>
            <w:r>
              <w:rPr>
                <w:b w:val="0"/>
                <w:sz w:val="18"/>
              </w:rPr>
              <w:t>PT-1-2</w:t>
            </w:r>
          </w:p>
        </w:tc>
        <w:tc>
          <w:tcPr>
            <w:tcW w:type="dxa" w:w="3216"/>
          </w:tcPr>
          <w:p>
            <w:pPr>
              <w:jc w:val="left"/>
            </w:pPr>
            <w:r/>
            <w:r>
              <w:rPr>
                <w:b w:val="0"/>
                <w:sz w:val="18"/>
              </w:rPr>
              <w:t>Path Traversal to Sensitive File</w:t>
            </w:r>
          </w:p>
        </w:tc>
        <w:tc>
          <w:tcPr>
            <w:tcW w:type="dxa" w:w="3216"/>
            <w:shd w:val="clear" w:fill="F4845F"/>
          </w:tcPr>
          <w:p>
            <w:pPr>
              <w:jc w:val="center"/>
            </w:pPr>
            <w:r/>
            <w:r>
              <w:rPr>
                <w:b/>
                <w:color w:val="FFFFFF"/>
                <w:sz w:val="18"/>
              </w:rPr>
              <w:t>HIGH</w:t>
            </w:r>
          </w:p>
        </w:tc>
      </w:tr>
      <w:tr>
        <w:tc>
          <w:tcPr>
            <w:tcW w:type="dxa" w:w="3216"/>
          </w:tcPr>
          <w:p>
            <w:pPr>
              <w:jc w:val="left"/>
            </w:pPr>
            <w:r/>
            <w:r>
              <w:rPr>
                <w:b w:val="0"/>
                <w:sz w:val="18"/>
              </w:rPr>
              <w:t>PT-1-3</w:t>
            </w:r>
          </w:p>
        </w:tc>
        <w:tc>
          <w:tcPr>
            <w:tcW w:type="dxa" w:w="3216"/>
          </w:tcPr>
          <w:p>
            <w:pPr>
              <w:jc w:val="left"/>
            </w:pPr>
            <w:r/>
            <w:r>
              <w:rPr>
                <w:b w:val="0"/>
                <w:sz w:val="18"/>
              </w:rPr>
              <w:t>Reflected Cross-Site Scripting via eval() Injection</w:t>
            </w:r>
          </w:p>
        </w:tc>
        <w:tc>
          <w:tcPr>
            <w:tcW w:type="dxa" w:w="3216"/>
            <w:shd w:val="clear" w:fill="F4845F"/>
          </w:tcPr>
          <w:p>
            <w:pPr>
              <w:jc w:val="center"/>
            </w:pPr>
            <w:r/>
            <w:r>
              <w:rPr>
                <w:b/>
                <w:color w:val="FFFFFF"/>
                <w:sz w:val="18"/>
              </w:rPr>
              <w:t>HIGH</w:t>
            </w:r>
          </w:p>
        </w:tc>
      </w:tr>
      <w:tr>
        <w:tc>
          <w:tcPr>
            <w:tcW w:type="dxa" w:w="3216"/>
          </w:tcPr>
          <w:p>
            <w:pPr>
              <w:jc w:val="left"/>
            </w:pPr>
            <w:r/>
            <w:r>
              <w:rPr>
                <w:b w:val="0"/>
                <w:sz w:val="18"/>
              </w:rPr>
              <w:t>PT-1-4</w:t>
            </w:r>
          </w:p>
        </w:tc>
        <w:tc>
          <w:tcPr>
            <w:tcW w:type="dxa" w:w="3216"/>
          </w:tcPr>
          <w:p>
            <w:pPr>
              <w:jc w:val="left"/>
            </w:pPr>
            <w:r/>
            <w:r>
              <w:rPr>
                <w:b w:val="0"/>
                <w:sz w:val="18"/>
              </w:rPr>
              <w:t>Privilege Escalation via Client-Side Authorization</w:t>
            </w:r>
          </w:p>
        </w:tc>
        <w:tc>
          <w:tcPr>
            <w:tcW w:type="dxa" w:w="3216"/>
            <w:shd w:val="clear" w:fill="F4845F"/>
          </w:tcPr>
          <w:p>
            <w:pPr>
              <w:jc w:val="center"/>
            </w:pPr>
            <w:r/>
            <w:r>
              <w:rPr>
                <w:b/>
                <w:color w:val="FFFFFF"/>
                <w:sz w:val="18"/>
              </w:rPr>
              <w:t>HIGH</w:t>
            </w:r>
          </w:p>
        </w:tc>
      </w:tr>
    </w:tbl>
    <w:p/>
    <w:p>
      <w:r>
        <w:rPr>
          <w:b/>
          <w:color w:val="E63946"/>
          <w:sz w:val="28"/>
        </w:rPr>
        <w:t>2. Technical Details</w:t>
      </w:r>
    </w:p>
    <w:p>
      <w:r>
        <w:rPr>
          <w:b/>
          <w:color w:val="2B2D42"/>
          <w:sz w:val="23"/>
        </w:rPr>
        <w:t>2.1 Hardcoded Credentials in Login Page — HIGH</w:t>
      </w:r>
    </w:p>
    <w:p>
      <w:r>
        <w:rPr>
          <w:b/>
          <w:sz w:val="19"/>
        </w:rPr>
        <w:t>Ref ID:</w:t>
      </w:r>
      <w:r>
        <w:rPr>
          <w:sz w:val="19"/>
        </w:rPr>
        <w:t xml:space="preserve"> PT-1-1</w:t>
      </w:r>
    </w:p>
    <w:p>
      <w:r>
        <w:rPr>
          <w:sz w:val="19"/>
        </w:rPr>
        <w:t xml:space="preserve">The login page served at </w:t>
      </w:r>
      <w:r>
        <w:rPr>
          <w:rFonts w:ascii="Courier New" w:hAnsi="Courier New"/>
          <w:sz w:val="19"/>
        </w:rPr>
        <w:t>https://google-gruyere.appspot.com/416902709325584161180924204263102047586/login</w:t>
      </w:r>
      <w:r>
        <w:rPr>
          <w:sz w:val="19"/>
        </w:rPr>
        <w:t xml:space="preserve"> contains a hardcoded password string directly embedded in the HTML source and visible on the rendered page. The string </w:t>
      </w:r>
      <w:r>
        <w:rPr>
          <w:rFonts w:ascii="Courier New" w:hAnsi="Courier New"/>
          <w:sz w:val="19"/>
        </w:rPr>
        <w:t>&lt;/td&gt;&lt;td&gt;</w:t>
      </w:r>
      <w:r>
        <w:rPr>
          <w:sz w:val="19"/>
        </w:rPr>
        <w:t xml:space="preserve"> appears between the “Password:” label and the password input field. Because this credential is exposed to any user who views the page, an attacker can reuse it to authenticate without any prior compromise. This violates the principle of secure secret storage and can lead to unauthorised access to sensitive functionality.</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`https://google-gruyere.appspot.com/416902709325584161180924204263102047586/login`</w:t>
            </w:r>
          </w:p>
        </w:tc>
      </w:tr>
      <w:tr>
        <w:tc>
          <w:tcPr>
            <w:tcW w:type="dxa" w:w="4824"/>
          </w:tcPr>
          <w:p>
            <w:pPr>
              <w:jc w:val="left"/>
            </w:pPr>
            <w:r/>
            <w:r>
              <w:rPr>
                <w:b w:val="0"/>
                <w:sz w:val="18"/>
              </w:rPr>
              <w:t>Parameter(s)</w:t>
            </w:r>
          </w:p>
        </w:tc>
        <w:tc>
          <w:tcPr>
            <w:tcW w:type="dxa" w:w="4824"/>
          </w:tcPr>
          <w:p>
            <w:pPr>
              <w:jc w:val="left"/>
            </w:pPr>
            <w:r/>
            <w:r>
              <w:rPr>
                <w:b w:val="0"/>
                <w:sz w:val="18"/>
              </w:rPr>
              <w:t>N/A (embedded in HTML body)</w:t>
            </w:r>
          </w:p>
        </w:tc>
      </w:tr>
      <w:tr>
        <w:tc>
          <w:tcPr>
            <w:tcW w:type="dxa" w:w="4824"/>
          </w:tcPr>
          <w:p>
            <w:pPr>
              <w:jc w:val="left"/>
            </w:pPr>
            <w:r/>
            <w:r>
              <w:rPr>
                <w:b w:val="0"/>
                <w:sz w:val="18"/>
              </w:rPr>
              <w:t>Attack Vectors</w:t>
            </w:r>
          </w:p>
        </w:tc>
        <w:tc>
          <w:tcPr>
            <w:tcW w:type="dxa" w:w="4824"/>
          </w:tcPr>
          <w:p>
            <w:pPr>
              <w:jc w:val="left"/>
            </w:pPr>
            <w:r/>
            <w:r>
              <w:rPr>
                <w:b w:val="0"/>
                <w:sz w:val="18"/>
              </w:rPr>
              <w:t>Any unauthenticated visitor can view the page source to obtain the hardcoded password.</w:t>
            </w:r>
          </w:p>
        </w:tc>
      </w:tr>
      <w:tr>
        <w:tc>
          <w:tcPr>
            <w:tcW w:type="dxa" w:w="4824"/>
          </w:tcPr>
          <w:p>
            <w:pPr>
              <w:jc w:val="left"/>
            </w:pPr>
            <w:r/>
            <w:r>
              <w:rPr>
                <w:b w:val="0"/>
                <w:sz w:val="18"/>
              </w:rPr>
              <w:t>References</w:t>
            </w:r>
          </w:p>
        </w:tc>
        <w:tc>
          <w:tcPr>
            <w:tcW w:type="dxa" w:w="4824"/>
          </w:tcPr>
          <w:p>
            <w:pPr>
              <w:jc w:val="left"/>
            </w:pPr>
            <w:r/>
            <w:r>
              <w:rPr>
                <w:b w:val="0"/>
                <w:sz w:val="18"/>
              </w:rPr>
              <w:t>https://cwe.mitre.org/data/definitions/798.html</w:t>
            </w:r>
          </w:p>
        </w:tc>
      </w:tr>
    </w:tbl>
    <w:p/>
    <w:p>
      <w:r>
        <w:rPr>
          <w:b/>
          <w:sz w:val="19"/>
        </w:rPr>
        <w:t>Evidence</w:t>
      </w:r>
    </w:p>
    <w:p>
      <w:r>
        <w:rPr>
          <w:sz w:val="19"/>
        </w:rPr>
        <w:t>The following snippet was observed in the page source:</w:t>
      </w:r>
    </w:p>
    <w:p>
      <w:pPr>
        <w:shd w:val="clear" w:fill="F2F2F2"/>
      </w:pPr>
      <w:r>
        <w:rPr>
          <w:rFonts w:ascii="Courier New" w:hAnsi="Courier New"/>
          <w:sz w:val="16"/>
        </w:rPr>
        <w:t>&lt;span class="label"&gt;Password:&lt;/span&gt;&lt;/td&gt;&lt;td&gt;&lt;input type='password' name='pw'&gt;</w:t>
      </w:r>
    </w:p>
    <w:p>
      <w:r>
        <w:rPr>
          <w:sz w:val="19"/>
        </w:rPr>
        <w:t xml:space="preserve">The literal text </w:t>
      </w:r>
      <w:r>
        <w:rPr>
          <w:rFonts w:ascii="Courier New" w:hAnsi="Courier New"/>
          <w:sz w:val="19"/>
        </w:rPr>
        <w:t>&lt;/td&gt;&lt;td&gt;</w:t>
      </w:r>
      <w:r>
        <w:rPr>
          <w:sz w:val="19"/>
        </w:rPr>
        <w:t xml:space="preserve"> is displayed before the password field and is visible without any inspection.</w:t>
      </w:r>
    </w:p>
    <w:p>
      <w:r>
        <w:rPr>
          <w:b/>
          <w:sz w:val="19"/>
        </w:rPr>
        <w:t>Remediation Guidance</w:t>
      </w:r>
    </w:p>
    <w:p>
      <w:r>
        <w:rPr>
          <w:sz w:val="19"/>
        </w:rPr>
        <w:t>1. Remove all hardcoded credentials from source code, templates, and configuration files.</w:t>
      </w:r>
    </w:p>
    <w:p>
      <w:r>
        <w:rPr>
          <w:sz w:val="19"/>
        </w:rPr>
        <w:t>2. Store secrets in a dedicated vault (e.g., HashiCorp Vault, AWS Secrets Manager) or at minimum in environment variables referenced by the application.</w:t>
      </w:r>
    </w:p>
    <w:p>
      <w:r>
        <w:rPr>
          <w:sz w:val="19"/>
        </w:rPr>
        <w:t>3. Rotate the exposed credential immediately and audit the application for any other instances of hardcoded secrets.</w:t>
      </w:r>
    </w:p>
    <w:p>
      <w:r>
        <w:rPr>
          <w:sz w:val="19"/>
        </w:rPr>
        <w:t>4. Implement a secure password reset mechanism if the exposed credential is still in use.</w:t>
      </w:r>
    </w:p>
    <w:p>
      <w:r>
        <w:rPr>
          <w:b/>
          <w:color w:val="2B2D42"/>
          <w:sz w:val="23"/>
        </w:rPr>
        <w:t>2.2 Path Traversal to Sensitive File — HIGH</w:t>
      </w:r>
    </w:p>
    <w:p>
      <w:r>
        <w:rPr>
          <w:b/>
          <w:sz w:val="19"/>
        </w:rPr>
        <w:t>Ref ID:</w:t>
      </w:r>
      <w:r>
        <w:rPr>
          <w:sz w:val="19"/>
        </w:rPr>
        <w:t xml:space="preserve"> PT-1-2</w:t>
      </w:r>
    </w:p>
    <w:p>
      <w:r>
        <w:rPr>
          <w:sz w:val="19"/>
        </w:rPr>
        <w:t xml:space="preserve">The application does not properly sanitise user‑controlled path components, allowing an attacker to traverse the filesystem. By sending a request to </w:t>
      </w:r>
      <w:r>
        <w:rPr>
          <w:rFonts w:ascii="Courier New" w:hAnsi="Courier New"/>
          <w:sz w:val="19"/>
        </w:rPr>
        <w:t>https://google-gruyere.appspot.com/123/%2e%2e%2fsecret.txt</w:t>
      </w:r>
      <w:r>
        <w:rPr>
          <w:sz w:val="19"/>
        </w:rPr>
        <w:t xml:space="preserve"> (where </w:t>
      </w:r>
      <w:r>
        <w:rPr>
          <w:rFonts w:ascii="Courier New" w:hAnsi="Courier New"/>
          <w:sz w:val="19"/>
        </w:rPr>
        <w:t>123</w:t>
      </w:r>
      <w:r>
        <w:rPr>
          <w:sz w:val="19"/>
        </w:rPr>
        <w:t xml:space="preserve"> is an arbitrary snippet identifier and </w:t>
      </w:r>
      <w:r>
        <w:rPr>
          <w:rFonts w:ascii="Courier New" w:hAnsi="Courier New"/>
          <w:sz w:val="19"/>
        </w:rPr>
        <w:t>%2e%2e%2f</w:t>
      </w:r>
      <w:r>
        <w:rPr>
          <w:sz w:val="19"/>
        </w:rPr>
        <w:t xml:space="preserve"> decodes to </w:t>
      </w:r>
      <w:r>
        <w:rPr>
          <w:rFonts w:ascii="Courier New" w:hAnsi="Courier New"/>
          <w:sz w:val="19"/>
        </w:rPr>
        <w:t>../</w:t>
      </w:r>
      <w:r>
        <w:rPr>
          <w:sz w:val="19"/>
        </w:rPr>
        <w:t xml:space="preserve">), the server returned the contents of </w:t>
      </w:r>
      <w:r>
        <w:rPr>
          <w:rFonts w:ascii="Courier New" w:hAnsi="Courier New"/>
          <w:sz w:val="19"/>
        </w:rPr>
        <w:t>secret.txt</w:t>
      </w:r>
      <w:r>
        <w:rPr>
          <w:sz w:val="19"/>
        </w:rPr>
        <w:t xml:space="preserve">. This file contained the instance identifier </w:t>
      </w:r>
      <w:r>
        <w:rPr>
          <w:rFonts w:ascii="Courier New" w:hAnsi="Courier New"/>
          <w:sz w:val="19"/>
        </w:rPr>
        <w:t>469885670341739636912374344282967559918</w:t>
      </w:r>
      <w:r>
        <w:rPr>
          <w:sz w:val="19"/>
        </w:rPr>
        <w:t xml:space="preserve"> and a base64‑encoded URL </w:t>
      </w:r>
      <w:r>
        <w:rPr>
          <w:rFonts w:ascii="Courier New" w:hAnsi="Courier New"/>
          <w:sz w:val="19"/>
        </w:rPr>
        <w:t>/469885670341739636912374344282967559918</w:t>
      </w:r>
      <w:r>
        <w:rPr>
          <w:sz w:val="19"/>
        </w:rPr>
        <w:t>. Unauthorised file disclosure can expose sensitive configuration data, credentials, or internal application logic, and may be a stepping stone to further attacks.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`https://google-gruyere.appspot.com/123/%2e%2e%2fsecret.txt`</w:t>
            </w:r>
          </w:p>
        </w:tc>
      </w:tr>
      <w:tr>
        <w:tc>
          <w:tcPr>
            <w:tcW w:type="dxa" w:w="4824"/>
          </w:tcPr>
          <w:p>
            <w:pPr>
              <w:jc w:val="left"/>
            </w:pPr>
            <w:r/>
            <w:r>
              <w:rPr>
                <w:b w:val="0"/>
                <w:sz w:val="18"/>
              </w:rPr>
              <w:t>Parameter(s)</w:t>
            </w:r>
          </w:p>
        </w:tc>
        <w:tc>
          <w:tcPr>
            <w:tcW w:type="dxa" w:w="4824"/>
          </w:tcPr>
          <w:p>
            <w:pPr>
              <w:jc w:val="left"/>
            </w:pPr>
            <w:r/>
            <w:r>
              <w:rPr>
                <w:b w:val="0"/>
                <w:sz w:val="18"/>
              </w:rPr>
              <w:t>Snippet ID path segment (user‑controlled)</w:t>
            </w:r>
          </w:p>
        </w:tc>
      </w:tr>
      <w:tr>
        <w:tc>
          <w:tcPr>
            <w:tcW w:type="dxa" w:w="4824"/>
          </w:tcPr>
          <w:p>
            <w:pPr>
              <w:jc w:val="left"/>
            </w:pPr>
            <w:r/>
            <w:r>
              <w:rPr>
                <w:b w:val="0"/>
                <w:sz w:val="18"/>
              </w:rPr>
              <w:t>Attack Vectors</w:t>
            </w:r>
          </w:p>
        </w:tc>
        <w:tc>
          <w:tcPr>
            <w:tcW w:type="dxa" w:w="4824"/>
          </w:tcPr>
          <w:p>
            <w:pPr>
              <w:jc w:val="left"/>
            </w:pPr>
            <w:r/>
            <w:r>
              <w:rPr>
                <w:b w:val="0"/>
                <w:sz w:val="18"/>
              </w:rPr>
              <w:t>URL‑encoded traversal sequences such as `../` can be used to read arbitrary files below the web root.</w:t>
            </w:r>
          </w:p>
        </w:tc>
      </w:tr>
      <w:tr>
        <w:tc>
          <w:tcPr>
            <w:tcW w:type="dxa" w:w="4824"/>
          </w:tcPr>
          <w:p>
            <w:pPr>
              <w:jc w:val="left"/>
            </w:pPr>
            <w:r/>
            <w:r>
              <w:rPr>
                <w:b w:val="0"/>
                <w:sz w:val="18"/>
              </w:rPr>
              <w:t>References</w:t>
            </w:r>
          </w:p>
        </w:tc>
        <w:tc>
          <w:tcPr>
            <w:tcW w:type="dxa" w:w="4824"/>
          </w:tcPr>
          <w:p>
            <w:pPr>
              <w:jc w:val="left"/>
            </w:pPr>
            <w:r/>
            <w:r>
              <w:rPr>
                <w:b w:val="0"/>
                <w:sz w:val="18"/>
              </w:rPr>
              <w:t>https://cwe.mitre.org/data/definitions/22.html</w:t>
            </w:r>
          </w:p>
        </w:tc>
      </w:tr>
    </w:tbl>
    <w:p/>
    <w:p>
      <w:r>
        <w:rPr>
          <w:b/>
          <w:sz w:val="19"/>
        </w:rPr>
        <w:t>Evidence</w:t>
      </w:r>
    </w:p>
    <w:p>
      <w:r>
        <w:rPr>
          <w:sz w:val="19"/>
        </w:rPr>
        <w:t>The following command was used to retrieve the file:</w:t>
      </w:r>
    </w:p>
    <w:p>
      <w:pPr>
        <w:shd w:val="clear" w:fill="F2F2F2"/>
      </w:pPr>
      <w:r>
        <w:rPr>
          <w:rFonts w:ascii="Courier New" w:hAnsi="Courier New"/>
          <w:sz w:val="16"/>
        </w:rPr>
        <w:t>curl -s --path-as-is -L -o secret.txt -w "%{http_code}" "https://google-gruyere.appspot.com/123/%2e%2e%2fsecret.txt"</w:t>
      </w:r>
    </w:p>
    <w:p>
      <w:r>
        <w:rPr>
          <w:sz w:val="19"/>
        </w:rPr>
        <w:t xml:space="preserve">HTTP response status: 200  </w:t>
      </w:r>
    </w:p>
    <w:p>
      <w:r>
        <w:rPr>
          <w:sz w:val="19"/>
        </w:rPr>
        <w:t xml:space="preserve">File contents: </w:t>
      </w:r>
      <w:r>
        <w:rPr>
          <w:rFonts w:ascii="Courier New" w:hAnsi="Courier New"/>
          <w:sz w:val="19"/>
        </w:rPr>
        <w:t>469885670341739636912374344282967559918</w:t>
      </w:r>
      <w:r>
        <w:rPr>
          <w:sz w:val="19"/>
        </w:rPr>
        <w:t xml:space="preserve"> and </w:t>
      </w:r>
      <w:r>
        <w:rPr>
          <w:rFonts w:ascii="Courier New" w:hAnsi="Courier New"/>
          <w:sz w:val="19"/>
        </w:rPr>
        <w:t>/469885670341739636912374344282967559918</w:t>
      </w:r>
    </w:p>
    <w:p>
      <w:r>
        <w:rPr>
          <w:b/>
          <w:sz w:val="19"/>
        </w:rPr>
        <w:t>Remediation Guidance</w:t>
      </w:r>
    </w:p>
    <w:p>
      <w:r>
        <w:rPr>
          <w:sz w:val="19"/>
        </w:rPr>
        <w:t xml:space="preserve">1. Implement a whitelist of allowed characters for path parameters and reject any input containing traversal sequences (e.g., </w:t>
      </w:r>
      <w:r>
        <w:rPr>
          <w:rFonts w:ascii="Courier New" w:hAnsi="Courier New"/>
          <w:sz w:val="19"/>
        </w:rPr>
        <w:t>../</w:t>
      </w:r>
      <w:r>
        <w:rPr>
          <w:sz w:val="19"/>
        </w:rPr>
        <w:t xml:space="preserve">, </w:t>
      </w:r>
      <w:r>
        <w:rPr>
          <w:rFonts w:ascii="Courier New" w:hAnsi="Courier New"/>
          <w:sz w:val="19"/>
        </w:rPr>
        <w:t>..\\</w:t>
      </w:r>
      <w:r>
        <w:rPr>
          <w:sz w:val="19"/>
        </w:rPr>
        <w:t>, URL‑encoded variants).</w:t>
      </w:r>
    </w:p>
    <w:p>
      <w:r>
        <w:rPr>
          <w:sz w:val="19"/>
        </w:rPr>
        <w:t xml:space="preserve">2. Use platform‑specific APIs that resolve file paths safely (e.g., </w:t>
      </w:r>
      <w:r>
        <w:rPr>
          <w:rFonts w:ascii="Courier New" w:hAnsi="Courier New"/>
          <w:sz w:val="19"/>
        </w:rPr>
        <w:t>realpath()</w:t>
      </w:r>
      <w:r>
        <w:rPr>
          <w:sz w:val="19"/>
        </w:rPr>
        <w:t xml:space="preserve"> in PHP) and validate that the resolved path stays within the intended directory.</w:t>
      </w:r>
    </w:p>
    <w:p>
      <w:r>
        <w:rPr>
          <w:sz w:val="19"/>
        </w:rPr>
        <w:t>3. Consider isolating uploaded content and application data from system files, and serve static content without directly referencing filesystem paths from user input.</w:t>
      </w:r>
    </w:p>
    <w:p>
      <w:r>
        <w:rPr>
          <w:sz w:val="19"/>
        </w:rPr>
        <w:t>4. Configure the web server to deny access to sensitive file extensions and directories by default.</w:t>
      </w:r>
    </w:p>
    <w:p>
      <w:r>
        <w:rPr>
          <w:b/>
          <w:color w:val="2B2D42"/>
          <w:sz w:val="23"/>
        </w:rPr>
        <w:t>2.3 Reflected Cross-Site Scripting via eval() Injection — HIGH</w:t>
      </w:r>
    </w:p>
    <w:p>
      <w:r>
        <w:rPr>
          <w:b/>
          <w:sz w:val="19"/>
        </w:rPr>
        <w:t>Ref ID:</w:t>
      </w:r>
      <w:r>
        <w:rPr>
          <w:sz w:val="19"/>
        </w:rPr>
        <w:t xml:space="preserve"> PT-1-3</w:t>
      </w:r>
    </w:p>
    <w:p>
      <w:r>
        <w:rPr>
          <w:sz w:val="19"/>
        </w:rPr>
        <w:t xml:space="preserve">The JavaScript file at </w:t>
      </w:r>
      <w:r>
        <w:rPr>
          <w:rFonts w:ascii="Courier New" w:hAnsi="Courier New"/>
          <w:sz w:val="19"/>
        </w:rPr>
        <w:t>https://google-gruyere.appspot.com//416902709325584161180924204263102047586/lib.js</w:t>
      </w:r>
      <w:r>
        <w:rPr>
          <w:sz w:val="19"/>
        </w:rPr>
        <w:t xml:space="preserve"> contains a function </w:t>
      </w:r>
      <w:r>
        <w:rPr>
          <w:rFonts w:ascii="Courier New" w:hAnsi="Courier New"/>
          <w:sz w:val="19"/>
        </w:rPr>
        <w:t>_refresh()</w:t>
      </w:r>
      <w:r>
        <w:rPr>
          <w:sz w:val="19"/>
        </w:rPr>
        <w:t xml:space="preserve"> that retrieves the response from the </w:t>
      </w:r>
      <w:r>
        <w:rPr>
          <w:rFonts w:ascii="Courier New" w:hAnsi="Courier New"/>
          <w:sz w:val="19"/>
        </w:rPr>
        <w:t>/feed.gtl</w:t>
      </w:r>
      <w:r>
        <w:rPr>
          <w:sz w:val="19"/>
        </w:rPr>
        <w:t xml:space="preserve"> endpoint and passes it directly to </w:t>
      </w:r>
      <w:r>
        <w:rPr>
          <w:rFonts w:ascii="Courier New" w:hAnsi="Courier New"/>
          <w:sz w:val="19"/>
        </w:rPr>
        <w:t>eval()</w:t>
      </w:r>
      <w:r>
        <w:rPr>
          <w:sz w:val="19"/>
        </w:rPr>
        <w:t xml:space="preserve">. The endpoint accepts a </w:t>
      </w:r>
      <w:r>
        <w:rPr>
          <w:rFonts w:ascii="Courier New" w:hAnsi="Courier New"/>
          <w:sz w:val="19"/>
        </w:rPr>
        <w:t>uid</w:t>
      </w:r>
      <w:r>
        <w:rPr>
          <w:sz w:val="19"/>
        </w:rPr>
        <w:t xml:space="preserve"> parameter without proper encoding, and the response is a JSON array wrapped in a function call </w:t>
      </w:r>
      <w:r>
        <w:rPr>
          <w:rFonts w:ascii="Courier New" w:hAnsi="Courier New"/>
          <w:sz w:val="19"/>
        </w:rPr>
        <w:t>_feed(...)</w:t>
      </w:r>
      <w:r>
        <w:rPr>
          <w:sz w:val="19"/>
        </w:rPr>
        <w:t xml:space="preserve">. An attacker can craft a </w:t>
      </w:r>
      <w:r>
        <w:rPr>
          <w:rFonts w:ascii="Courier New" w:hAnsi="Courier New"/>
          <w:sz w:val="19"/>
        </w:rPr>
        <w:t>uid</w:t>
      </w:r>
      <w:r>
        <w:rPr>
          <w:sz w:val="19"/>
        </w:rPr>
        <w:t xml:space="preserve"> value that breaks out of the JSON context and injects arbitrary JavaScript, which will then be executed in the context of any user viewing the feed. This reflected XSS vulnerability can be used to hijack user sessions, steal credentials, or deface the application.</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`https://google-gruyere.appspot.com/416902709325584161180924204263102047586/feed.gtl?uid=`</w:t>
            </w:r>
          </w:p>
        </w:tc>
      </w:tr>
      <w:tr>
        <w:tc>
          <w:tcPr>
            <w:tcW w:type="dxa" w:w="4824"/>
          </w:tcPr>
          <w:p>
            <w:pPr>
              <w:jc w:val="left"/>
            </w:pPr>
            <w:r/>
            <w:r>
              <w:rPr>
                <w:b w:val="0"/>
                <w:sz w:val="18"/>
              </w:rPr>
              <w:t>Parameter(s)</w:t>
            </w:r>
          </w:p>
        </w:tc>
        <w:tc>
          <w:tcPr>
            <w:tcW w:type="dxa" w:w="4824"/>
          </w:tcPr>
          <w:p>
            <w:pPr>
              <w:jc w:val="left"/>
            </w:pPr>
            <w:r/>
            <w:r>
              <w:rPr>
                <w:b w:val="0"/>
                <w:sz w:val="18"/>
              </w:rPr>
              <w:t>`uid`</w:t>
            </w:r>
          </w:p>
        </w:tc>
      </w:tr>
      <w:tr>
        <w:tc>
          <w:tcPr>
            <w:tcW w:type="dxa" w:w="4824"/>
          </w:tcPr>
          <w:p>
            <w:pPr>
              <w:jc w:val="left"/>
            </w:pPr>
            <w:r/>
            <w:r>
              <w:rPr>
                <w:b w:val="0"/>
                <w:sz w:val="18"/>
              </w:rPr>
              <w:t>Attack Vectors</w:t>
            </w:r>
          </w:p>
        </w:tc>
        <w:tc>
          <w:tcPr>
            <w:tcW w:type="dxa" w:w="4824"/>
          </w:tcPr>
          <w:p>
            <w:pPr>
              <w:jc w:val="left"/>
            </w:pPr>
            <w:r/>
            <w:r>
              <w:rPr>
                <w:b w:val="0"/>
                <w:sz w:val="18"/>
              </w:rPr>
              <w:t>Injecting `"; alert(1);//` or similar payloads that terminate the JSON string and insert executable code.</w:t>
            </w:r>
          </w:p>
        </w:tc>
      </w:tr>
      <w:tr>
        <w:tc>
          <w:tcPr>
            <w:tcW w:type="dxa" w:w="4824"/>
          </w:tcPr>
          <w:p>
            <w:pPr>
              <w:jc w:val="left"/>
            </w:pPr>
            <w:r/>
            <w:r>
              <w:rPr>
                <w:b w:val="0"/>
                <w:sz w:val="18"/>
              </w:rPr>
              <w:t>References</w:t>
            </w:r>
          </w:p>
        </w:tc>
        <w:tc>
          <w:tcPr>
            <w:tcW w:type="dxa" w:w="4824"/>
          </w:tcPr>
          <w:p>
            <w:pPr>
              <w:jc w:val="left"/>
            </w:pPr>
            <w:r/>
            <w:r>
              <w:rPr>
                <w:b w:val="0"/>
                <w:sz w:val="18"/>
              </w:rPr>
              <w:t>https://cwe.mitre.org/data/definitions/79.html</w:t>
            </w:r>
          </w:p>
        </w:tc>
      </w:tr>
    </w:tbl>
    <w:p/>
    <w:p>
      <w:r>
        <w:rPr>
          <w:b/>
          <w:sz w:val="19"/>
        </w:rPr>
        <w:t>Evidence</w:t>
      </w:r>
    </w:p>
    <w:p>
      <w:r>
        <w:rPr>
          <w:sz w:val="19"/>
        </w:rPr>
        <w:t xml:space="preserve">The vulnerable code path in </w:t>
      </w:r>
      <w:r>
        <w:rPr>
          <w:rFonts w:ascii="Courier New" w:hAnsi="Courier New"/>
          <w:sz w:val="19"/>
        </w:rPr>
        <w:t>/416902709325584161180924204263102047586/lib.js</w:t>
      </w:r>
      <w:r>
        <w:rPr>
          <w:sz w:val="19"/>
        </w:rPr>
        <w:t>:</w:t>
      </w:r>
    </w:p>
    <w:p>
      <w:pPr>
        <w:shd w:val="clear" w:fill="F2F2F2"/>
      </w:pPr>
      <w:r>
        <w:rPr>
          <w:rFonts w:ascii="Courier New" w:hAnsi="Courier New"/>
          <w:sz w:val="16"/>
        </w:rPr>
        <w:t>_refresh("/" + uniqueId + "/feed.gtl?uid=" + uid, ...)</w:t>
      </w:r>
    </w:p>
    <w:p>
      <w:r>
        <w:rPr>
          <w:sz w:val="19"/>
        </w:rPr>
        <w:t xml:space="preserve">The </w:t>
      </w:r>
      <w:r>
        <w:rPr>
          <w:rFonts w:ascii="Courier New" w:hAnsi="Courier New"/>
          <w:sz w:val="19"/>
        </w:rPr>
        <w:t>_refresh</w:t>
      </w:r>
      <w:r>
        <w:rPr>
          <w:sz w:val="19"/>
        </w:rPr>
        <w:t xml:space="preserve"> callback passes the server response directly to </w:t>
      </w:r>
      <w:r>
        <w:rPr>
          <w:rFonts w:ascii="Courier New" w:hAnsi="Courier New"/>
          <w:sz w:val="19"/>
        </w:rPr>
        <w:t>eval()</w:t>
      </w:r>
      <w:r>
        <w:rPr>
          <w:sz w:val="19"/>
        </w:rPr>
        <w:t>. A request such as:</w:t>
      </w:r>
    </w:p>
    <w:p>
      <w:pPr>
        <w:shd w:val="clear" w:fill="F2F2F2"/>
      </w:pPr>
      <w:r>
        <w:rPr>
          <w:rFonts w:ascii="Courier New" w:hAnsi="Courier New"/>
          <w:sz w:val="16"/>
        </w:rPr>
        <w:t>https://google-gruyere.appspot.com/416902709325584161180924204263102047586/feed.gtl?uid=test%22;alert(1);//</w:t>
      </w:r>
    </w:p>
    <w:p>
      <w:r>
        <w:rPr>
          <w:sz w:val="19"/>
        </w:rPr>
        <w:t>results in the response containing the injected payload, which is then evaluated.</w:t>
      </w:r>
    </w:p>
    <w:p>
      <w:r>
        <w:rPr>
          <w:b/>
          <w:sz w:val="19"/>
        </w:rPr>
        <w:t>Remediation Guidance</w:t>
      </w:r>
    </w:p>
    <w:p>
      <w:r>
        <w:rPr>
          <w:sz w:val="19"/>
        </w:rPr>
        <w:t xml:space="preserve">1. Avoid using </w:t>
      </w:r>
      <w:r>
        <w:rPr>
          <w:rFonts w:ascii="Courier New" w:hAnsi="Courier New"/>
          <w:sz w:val="19"/>
        </w:rPr>
        <w:t>eval()</w:t>
      </w:r>
      <w:r>
        <w:rPr>
          <w:sz w:val="19"/>
        </w:rPr>
        <w:t xml:space="preserve">, </w:t>
      </w:r>
      <w:r>
        <w:rPr>
          <w:rFonts w:ascii="Courier New" w:hAnsi="Courier New"/>
          <w:sz w:val="19"/>
        </w:rPr>
        <w:t>Function()</w:t>
      </w:r>
      <w:r>
        <w:rPr>
          <w:sz w:val="19"/>
        </w:rPr>
        <w:t>, or any similar dynamic code execution on client‑controlled data.</w:t>
      </w:r>
    </w:p>
    <w:p>
      <w:r>
        <w:rPr>
          <w:sz w:val="19"/>
        </w:rPr>
        <w:t xml:space="preserve">2. If the feed must return structured data, use JSON parsing with </w:t>
      </w:r>
      <w:r>
        <w:rPr>
          <w:rFonts w:ascii="Courier New" w:hAnsi="Courier New"/>
          <w:sz w:val="19"/>
        </w:rPr>
        <w:t>JSON.parse()</w:t>
      </w:r>
      <w:r>
        <w:rPr>
          <w:sz w:val="19"/>
        </w:rPr>
        <w:t xml:space="preserve"> instead of relying on </w:t>
      </w:r>
      <w:r>
        <w:rPr>
          <w:rFonts w:ascii="Courier New" w:hAnsi="Courier New"/>
          <w:sz w:val="19"/>
        </w:rPr>
        <w:t>eval()</w:t>
      </w:r>
      <w:r>
        <w:rPr>
          <w:sz w:val="19"/>
        </w:rPr>
        <w:t>.</w:t>
      </w:r>
    </w:p>
    <w:p>
      <w:r>
        <w:rPr>
          <w:sz w:val="19"/>
        </w:rPr>
        <w:t>3. Encode all user‑supplied output according to the context (HTML entity encoding, JavaScript string escaping) before inserting it into the DOM.</w:t>
      </w:r>
    </w:p>
    <w:p>
      <w:r>
        <w:rPr>
          <w:sz w:val="19"/>
        </w:rPr>
        <w:t xml:space="preserve">4. Implement a Content Security Policy (CSP) that disallows inline scripts and </w:t>
      </w:r>
      <w:r>
        <w:rPr>
          <w:rFonts w:ascii="Courier New" w:hAnsi="Courier New"/>
          <w:sz w:val="19"/>
        </w:rPr>
        <w:t>eval()</w:t>
      </w:r>
      <w:r>
        <w:rPr>
          <w:sz w:val="19"/>
        </w:rPr>
        <w:t xml:space="preserve"> to provide defence‑in‑depth.</w:t>
      </w:r>
    </w:p>
    <w:p>
      <w:r>
        <w:rPr>
          <w:sz w:val="19"/>
        </w:rPr>
        <w:t xml:space="preserve">5. Validate and sanitise the </w:t>
      </w:r>
      <w:r>
        <w:rPr>
          <w:rFonts w:ascii="Courier New" w:hAnsi="Courier New"/>
          <w:sz w:val="19"/>
        </w:rPr>
        <w:t>uid</w:t>
      </w:r>
      <w:r>
        <w:rPr>
          <w:sz w:val="19"/>
        </w:rPr>
        <w:t xml:space="preserve"> parameter on the server side to reject unexpected characters.</w:t>
      </w:r>
    </w:p>
    <w:p>
      <w:r>
        <w:rPr>
          <w:b/>
          <w:color w:val="2B2D42"/>
          <w:sz w:val="23"/>
        </w:rPr>
        <w:t>2.4 Privilege Escalation via Client-Side Authorization — HIGH</w:t>
      </w:r>
    </w:p>
    <w:p>
      <w:r>
        <w:rPr>
          <w:b/>
          <w:sz w:val="19"/>
        </w:rPr>
        <w:t>Ref ID:</w:t>
      </w:r>
      <w:r>
        <w:rPr>
          <w:sz w:val="19"/>
        </w:rPr>
        <w:t xml:space="preserve"> PT-1-4</w:t>
      </w:r>
    </w:p>
    <w:p>
      <w:r>
        <w:rPr>
          <w:sz w:val="19"/>
        </w:rPr>
        <w:t xml:space="preserve">The account registration page at </w:t>
      </w:r>
      <w:r>
        <w:rPr>
          <w:rFonts w:ascii="Courier New" w:hAnsi="Courier New"/>
          <w:sz w:val="19"/>
        </w:rPr>
        <w:t>https://google-gruyere.appspot.com/416902709325584161180924204263102047586/newaccount.gtl</w:t>
      </w:r>
      <w:r>
        <w:rPr>
          <w:sz w:val="19"/>
        </w:rPr>
        <w:t xml:space="preserve"> contains a hidden form field, </w:t>
      </w:r>
      <w:r>
        <w:rPr>
          <w:rFonts w:ascii="Courier New" w:hAnsi="Courier New"/>
          <w:sz w:val="19"/>
        </w:rPr>
        <w:t>is_author</w:t>
      </w:r>
      <w:r>
        <w:rPr>
          <w:sz w:val="19"/>
        </w:rPr>
        <w:t xml:space="preserve">, with a value of </w:t>
      </w:r>
      <w:r>
        <w:rPr>
          <w:rFonts w:ascii="Courier New" w:hAnsi="Courier New"/>
          <w:sz w:val="19"/>
        </w:rPr>
        <w:t>True</w:t>
      </w:r>
      <w:r>
        <w:rPr>
          <w:sz w:val="19"/>
        </w:rPr>
        <w:t xml:space="preserve">. Because the application relies solely on this client‑controlled parameter to assign author privileges, an attacker can create a new account with full author‑level access simply by including </w:t>
      </w:r>
      <w:r>
        <w:rPr>
          <w:rFonts w:ascii="Courier New" w:hAnsi="Courier New"/>
          <w:sz w:val="19"/>
        </w:rPr>
        <w:t>is_author=True</w:t>
      </w:r>
      <w:r>
        <w:rPr>
          <w:sz w:val="19"/>
        </w:rPr>
        <w:t xml:space="preserve"> in the sign‑up request. This bypasses any intended administrative approval process and grants unauthorised access to features such as file uploads, potentially leading to further exploitation.</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`https://google-gruyere.appspot.com/416902709325584161180924204263102047586/newaccount.gtl`</w:t>
            </w:r>
          </w:p>
        </w:tc>
      </w:tr>
      <w:tr>
        <w:tc>
          <w:tcPr>
            <w:tcW w:type="dxa" w:w="4824"/>
          </w:tcPr>
          <w:p>
            <w:pPr>
              <w:jc w:val="left"/>
            </w:pPr>
            <w:r/>
            <w:r>
              <w:rPr>
                <w:b w:val="0"/>
                <w:sz w:val="18"/>
              </w:rPr>
              <w:t>Parameter(s)</w:t>
            </w:r>
          </w:p>
        </w:tc>
        <w:tc>
          <w:tcPr>
            <w:tcW w:type="dxa" w:w="4824"/>
          </w:tcPr>
          <w:p>
            <w:pPr>
              <w:jc w:val="left"/>
            </w:pPr>
            <w:r/>
            <w:r>
              <w:rPr>
                <w:b w:val="0"/>
                <w:sz w:val="18"/>
              </w:rPr>
              <w:t>`is_author` (hidden form field)</w:t>
            </w:r>
          </w:p>
        </w:tc>
      </w:tr>
      <w:tr>
        <w:tc>
          <w:tcPr>
            <w:tcW w:type="dxa" w:w="4824"/>
          </w:tcPr>
          <w:p>
            <w:pPr>
              <w:jc w:val="left"/>
            </w:pPr>
            <w:r/>
            <w:r>
              <w:rPr>
                <w:b w:val="0"/>
                <w:sz w:val="18"/>
              </w:rPr>
              <w:t>Attack Vectors</w:t>
            </w:r>
          </w:p>
        </w:tc>
        <w:tc>
          <w:tcPr>
            <w:tcW w:type="dxa" w:w="4824"/>
          </w:tcPr>
          <w:p>
            <w:pPr>
              <w:jc w:val="left"/>
            </w:pPr>
            <w:r/>
            <w:r>
              <w:rPr>
                <w:b w:val="0"/>
                <w:sz w:val="18"/>
              </w:rPr>
              <w:t>Modifying the sign‑up request to set `is_author=True`</w:t>
            </w:r>
          </w:p>
        </w:tc>
      </w:tr>
      <w:tr>
        <w:tc>
          <w:tcPr>
            <w:tcW w:type="dxa" w:w="4824"/>
          </w:tcPr>
          <w:p>
            <w:pPr>
              <w:jc w:val="left"/>
            </w:pPr>
            <w:r/>
            <w:r>
              <w:rPr>
                <w:b w:val="0"/>
                <w:sz w:val="18"/>
              </w:rPr>
              <w:t>References</w:t>
            </w:r>
          </w:p>
        </w:tc>
        <w:tc>
          <w:tcPr>
            <w:tcW w:type="dxa" w:w="4824"/>
          </w:tcPr>
          <w:p>
            <w:pPr>
              <w:jc w:val="left"/>
            </w:pPr>
            <w:r/>
            <w:r>
              <w:rPr>
                <w:b w:val="0"/>
                <w:sz w:val="18"/>
              </w:rPr>
              <w:t>https://cwe.mitre.org/data/definitions/863.html</w:t>
            </w:r>
          </w:p>
        </w:tc>
      </w:tr>
    </w:tbl>
    <w:p/>
    <w:p>
      <w:r>
        <w:rPr>
          <w:b/>
          <w:sz w:val="19"/>
        </w:rPr>
        <w:t>Evidence</w:t>
      </w:r>
    </w:p>
    <w:p>
      <w:r>
        <w:rPr>
          <w:sz w:val="19"/>
        </w:rPr>
        <w:t>The sign‑up form HTML contains:</w:t>
      </w:r>
    </w:p>
    <w:p>
      <w:pPr>
        <w:shd w:val="clear" w:fill="F2F2F2"/>
      </w:pPr>
      <w:r>
        <w:rPr>
          <w:rFonts w:ascii="Courier New" w:hAnsi="Courier New"/>
          <w:sz w:val="16"/>
        </w:rPr>
        <w:t>&lt;input type='hidden' name='is_author' value='True'&gt;</w:t>
      </w:r>
    </w:p>
    <w:p>
      <w:r>
        <w:rPr>
          <w:sz w:val="19"/>
        </w:rPr>
        <w:t xml:space="preserve">A direct request to the action URL with </w:t>
      </w:r>
      <w:r>
        <w:rPr>
          <w:rFonts w:ascii="Courier New" w:hAnsi="Courier New"/>
          <w:sz w:val="19"/>
        </w:rPr>
        <w:t>is_author=True</w:t>
      </w:r>
      <w:r>
        <w:rPr>
          <w:sz w:val="19"/>
        </w:rPr>
        <w:t xml:space="preserve"> and valid user credentials successfully created an account with author privileges, as confirmed by the presence of the “Upload” link in the navigation menu after login.</w:t>
      </w:r>
    </w:p>
    <w:p>
      <w:r>
        <w:rPr>
          <w:b/>
          <w:sz w:val="19"/>
        </w:rPr>
        <w:t>Remediation Guidance</w:t>
      </w:r>
    </w:p>
    <w:p>
      <w:r>
        <w:rPr>
          <w:sz w:val="19"/>
        </w:rPr>
        <w:t>1. Never rely on client‑side fields for authorization decisions; all access control must be enforced on the server side.</w:t>
      </w:r>
    </w:p>
    <w:p>
      <w:r>
        <w:rPr>
          <w:sz w:val="19"/>
        </w:rPr>
        <w:t xml:space="preserve">2. Remove the </w:t>
      </w:r>
      <w:r>
        <w:rPr>
          <w:rFonts w:ascii="Courier New" w:hAnsi="Courier New"/>
          <w:sz w:val="19"/>
        </w:rPr>
        <w:t>is_author</w:t>
      </w:r>
      <w:r>
        <w:rPr>
          <w:sz w:val="19"/>
        </w:rPr>
        <w:t xml:space="preserve"> parameter from the registration form entirely and assign roles only through a secure administrative interface.</w:t>
      </w:r>
    </w:p>
    <w:p>
      <w:r>
        <w:rPr>
          <w:sz w:val="19"/>
        </w:rPr>
        <w:t>3. Implement proper role‑based access control (RBAC) that verifies the authenticated user’s permissions before granting access to privileged functionality.</w:t>
      </w:r>
    </w:p>
    <w:p>
      <w:r>
        <w:rPr>
          <w:sz w:val="19"/>
        </w:rPr>
        <w:t>4. Audit the entire application for similar hidden fields or parameters that could be manipulated to elevate privileges.</w:t>
      </w:r>
    </w:p>
    <w:p>
      <w:r>
        <w:rPr>
          <w:b/>
          <w:color w:val="E63946"/>
          <w:sz w:val="28"/>
        </w:rPr>
        <w:t>3. Appendices</w:t>
      </w:r>
    </w:p>
    <w:p>
      <w:r>
        <w:rPr>
          <w:b/>
          <w:color w:val="2B2D42"/>
          <w:sz w:val="23"/>
        </w:rPr>
        <w:t>3.1 Penetration Testing Methodology</w:t>
      </w:r>
    </w:p>
    <w:p>
      <w:r>
        <w:rPr>
          <w:sz w:val="19"/>
        </w:rPr>
        <w:t>This assessment followed the OWASP Testing Guide v4 and covered the OWASP Top 10 (2021) vulnerabilities. The engagement was structured in four phases:</w:t>
      </w:r>
    </w:p>
    <w:p>
      <w:r>
        <w:rPr>
          <w:sz w:val="19"/>
        </w:rPr>
        <w:t xml:space="preserve">1. </w:t>
      </w:r>
      <w:r>
        <w:rPr>
          <w:b/>
          <w:sz w:val="19"/>
        </w:rPr>
        <w:t>Reconnaissance</w:t>
      </w:r>
      <w:r>
        <w:rPr>
          <w:sz w:val="19"/>
        </w:rPr>
        <w:t xml:space="preserve"> – Passive and active information gathering to map the target.</w:t>
      </w:r>
    </w:p>
    <w:p>
      <w:r>
        <w:rPr>
          <w:sz w:val="19"/>
        </w:rPr>
        <w:t xml:space="preserve">2. </w:t>
      </w:r>
      <w:r>
        <w:rPr>
          <w:b/>
          <w:sz w:val="19"/>
        </w:rPr>
        <w:t>Enumeration</w:t>
      </w:r>
      <w:r>
        <w:rPr>
          <w:sz w:val="19"/>
        </w:rPr>
        <w:t xml:space="preserve"> – Identification of endpoints, technologies, and potential attack surfaces.</w:t>
      </w:r>
    </w:p>
    <w:p>
      <w:r>
        <w:rPr>
          <w:sz w:val="19"/>
        </w:rPr>
        <w:t xml:space="preserve">3. </w:t>
      </w:r>
      <w:r>
        <w:rPr>
          <w:b/>
          <w:sz w:val="19"/>
        </w:rPr>
        <w:t>Exploitation</w:t>
      </w:r>
      <w:r>
        <w:rPr>
          <w:sz w:val="19"/>
        </w:rPr>
        <w:t xml:space="preserve"> – Manual exploitation of identified vulnerabilities with appropriate tooling.</w:t>
      </w:r>
    </w:p>
    <w:p>
      <w:r>
        <w:rPr>
          <w:sz w:val="19"/>
        </w:rPr>
        <w:t xml:space="preserve">4. </w:t>
      </w:r>
      <w:r>
        <w:rPr>
          <w:b/>
          <w:sz w:val="19"/>
        </w:rPr>
        <w:t>Reporting</w:t>
      </w:r>
      <w:r>
        <w:rPr>
          <w:sz w:val="19"/>
        </w:rPr>
        <w:t xml:space="preserve"> – Documentation of findings, evidence, and remediation guidance.</w:t>
      </w:r>
    </w:p>
    <w:p>
      <w:r>
        <w:rPr>
          <w:sz w:val="19"/>
        </w:rPr>
        <w:t>The OWASP Top 10 (2021) table below summarises the primary risk categories considered during testing: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Category</w:t>
            </w:r>
          </w:p>
        </w:tc>
        <w:tc>
          <w:tcPr>
            <w:tcW w:type="dxa" w:w="4824"/>
            <w:shd w:val="clear" w:fill="2B2D42"/>
          </w:tcPr>
          <w:p>
            <w:pPr>
              <w:jc w:val="left"/>
            </w:pPr>
            <w:r/>
            <w:r>
              <w:rPr>
                <w:b/>
                <w:color w:val="FFFFFF"/>
                <w:sz w:val="18"/>
              </w:rPr>
              <w:t>Description</w:t>
            </w:r>
          </w:p>
        </w:tc>
      </w:tr>
      <w:tr>
        <w:tc>
          <w:tcPr>
            <w:tcW w:type="dxa" w:w="4824"/>
          </w:tcPr>
          <w:p>
            <w:pPr>
              <w:jc w:val="left"/>
            </w:pPr>
            <w:r/>
            <w:r>
              <w:rPr>
                <w:b w:val="0"/>
                <w:sz w:val="18"/>
              </w:rPr>
              <w:t>A1 – Broken Access Control</w:t>
            </w:r>
          </w:p>
        </w:tc>
        <w:tc>
          <w:tcPr>
            <w:tcW w:type="dxa" w:w="4824"/>
          </w:tcPr>
          <w:p>
            <w:pPr>
              <w:jc w:val="left"/>
            </w:pPr>
            <w:r/>
            <w:r>
              <w:rPr>
                <w:b w:val="0"/>
                <w:sz w:val="18"/>
              </w:rPr>
              <w:t>Failures that allow users to act outside of their intended permissions.</w:t>
            </w:r>
          </w:p>
        </w:tc>
      </w:tr>
      <w:tr>
        <w:tc>
          <w:tcPr>
            <w:tcW w:type="dxa" w:w="4824"/>
          </w:tcPr>
          <w:p>
            <w:pPr>
              <w:jc w:val="left"/>
            </w:pPr>
            <w:r/>
            <w:r>
              <w:rPr>
                <w:b w:val="0"/>
                <w:sz w:val="18"/>
              </w:rPr>
              <w:t>A2 – Cryptographic Failures</w:t>
            </w:r>
          </w:p>
        </w:tc>
        <w:tc>
          <w:tcPr>
            <w:tcW w:type="dxa" w:w="4824"/>
          </w:tcPr>
          <w:p>
            <w:pPr>
              <w:jc w:val="left"/>
            </w:pPr>
            <w:r/>
            <w:r>
              <w:rPr>
                <w:b w:val="0"/>
                <w:sz w:val="18"/>
              </w:rPr>
              <w:t>Weaknesses in protecting data in transit or at rest.</w:t>
            </w:r>
          </w:p>
        </w:tc>
      </w:tr>
      <w:tr>
        <w:tc>
          <w:tcPr>
            <w:tcW w:type="dxa" w:w="4824"/>
          </w:tcPr>
          <w:p>
            <w:pPr>
              <w:jc w:val="left"/>
            </w:pPr>
            <w:r/>
            <w:r>
              <w:rPr>
                <w:b w:val="0"/>
                <w:sz w:val="18"/>
              </w:rPr>
              <w:t>A3 – Injection</w:t>
            </w:r>
          </w:p>
        </w:tc>
        <w:tc>
          <w:tcPr>
            <w:tcW w:type="dxa" w:w="4824"/>
          </w:tcPr>
          <w:p>
            <w:pPr>
              <w:jc w:val="left"/>
            </w:pPr>
            <w:r/>
            <w:r>
              <w:rPr>
                <w:b w:val="0"/>
                <w:sz w:val="18"/>
              </w:rPr>
              <w:t>Flaws that allow untrusted data to be interpreted as commands or queries.</w:t>
            </w:r>
          </w:p>
        </w:tc>
      </w:tr>
      <w:tr>
        <w:tc>
          <w:tcPr>
            <w:tcW w:type="dxa" w:w="4824"/>
          </w:tcPr>
          <w:p>
            <w:pPr>
              <w:jc w:val="left"/>
            </w:pPr>
            <w:r/>
            <w:r>
              <w:rPr>
                <w:b w:val="0"/>
                <w:sz w:val="18"/>
              </w:rPr>
              <w:t>A4 – Insecure Design</w:t>
            </w:r>
          </w:p>
        </w:tc>
        <w:tc>
          <w:tcPr>
            <w:tcW w:type="dxa" w:w="4824"/>
          </w:tcPr>
          <w:p>
            <w:pPr>
              <w:jc w:val="left"/>
            </w:pPr>
            <w:r/>
            <w:r>
              <w:rPr>
                <w:b w:val="0"/>
                <w:sz w:val="18"/>
              </w:rPr>
              <w:t>Missing or ineffective security controls due to design flaws.</w:t>
            </w:r>
          </w:p>
        </w:tc>
      </w:tr>
      <w:tr>
        <w:tc>
          <w:tcPr>
            <w:tcW w:type="dxa" w:w="4824"/>
          </w:tcPr>
          <w:p>
            <w:pPr>
              <w:jc w:val="left"/>
            </w:pPr>
            <w:r/>
            <w:r>
              <w:rPr>
                <w:b w:val="0"/>
                <w:sz w:val="18"/>
              </w:rPr>
              <w:t>A5 – Security Misconfiguration</w:t>
            </w:r>
          </w:p>
        </w:tc>
        <w:tc>
          <w:tcPr>
            <w:tcW w:type="dxa" w:w="4824"/>
          </w:tcPr>
          <w:p>
            <w:pPr>
              <w:jc w:val="left"/>
            </w:pPr>
            <w:r/>
            <w:r>
              <w:rPr>
                <w:b w:val="0"/>
                <w:sz w:val="18"/>
              </w:rPr>
              <w:t>Improperly configured security settings or defaults.</w:t>
            </w:r>
          </w:p>
        </w:tc>
      </w:tr>
      <w:tr>
        <w:tc>
          <w:tcPr>
            <w:tcW w:type="dxa" w:w="4824"/>
          </w:tcPr>
          <w:p>
            <w:pPr>
              <w:jc w:val="left"/>
            </w:pPr>
            <w:r/>
            <w:r>
              <w:rPr>
                <w:b w:val="0"/>
                <w:sz w:val="18"/>
              </w:rPr>
              <w:t>A6 – Vulnerable and Outdated Components</w:t>
            </w:r>
          </w:p>
        </w:tc>
        <w:tc>
          <w:tcPr>
            <w:tcW w:type="dxa" w:w="4824"/>
          </w:tcPr>
          <w:p>
            <w:pPr>
              <w:jc w:val="left"/>
            </w:pPr>
            <w:r/>
            <w:r>
              <w:rPr>
                <w:b w:val="0"/>
                <w:sz w:val="18"/>
              </w:rPr>
              <w:t>Using components with known vulnerabilities.</w:t>
            </w:r>
          </w:p>
        </w:tc>
      </w:tr>
      <w:tr>
        <w:tc>
          <w:tcPr>
            <w:tcW w:type="dxa" w:w="4824"/>
          </w:tcPr>
          <w:p>
            <w:pPr>
              <w:jc w:val="left"/>
            </w:pPr>
            <w:r/>
            <w:r>
              <w:rPr>
                <w:b w:val="0"/>
                <w:sz w:val="18"/>
              </w:rPr>
              <w:t>A7 – Identification and Authentication Failures</w:t>
            </w:r>
          </w:p>
        </w:tc>
        <w:tc>
          <w:tcPr>
            <w:tcW w:type="dxa" w:w="4824"/>
          </w:tcPr>
          <w:p>
            <w:pPr>
              <w:jc w:val="left"/>
            </w:pPr>
            <w:r/>
            <w:r>
              <w:rPr>
                <w:b w:val="0"/>
                <w:sz w:val="18"/>
              </w:rPr>
              <w:t>Issues with identity management, authentication, and session handling.</w:t>
            </w:r>
          </w:p>
        </w:tc>
      </w:tr>
      <w:tr>
        <w:tc>
          <w:tcPr>
            <w:tcW w:type="dxa" w:w="4824"/>
          </w:tcPr>
          <w:p>
            <w:pPr>
              <w:jc w:val="left"/>
            </w:pPr>
            <w:r/>
            <w:r>
              <w:rPr>
                <w:b w:val="0"/>
                <w:sz w:val="18"/>
              </w:rPr>
              <w:t>A8 – Software and Data Integrity Failures</w:t>
            </w:r>
          </w:p>
        </w:tc>
        <w:tc>
          <w:tcPr>
            <w:tcW w:type="dxa" w:w="4824"/>
          </w:tcPr>
          <w:p>
            <w:pPr>
              <w:jc w:val="left"/>
            </w:pPr>
            <w:r/>
            <w:r>
              <w:rPr>
                <w:b w:val="0"/>
                <w:sz w:val="18"/>
              </w:rPr>
              <w:t>Failures to verify the integrity of software updates, CI/CD pipelines, or sensitive data.</w:t>
            </w:r>
          </w:p>
        </w:tc>
      </w:tr>
      <w:tr>
        <w:tc>
          <w:tcPr>
            <w:tcW w:type="dxa" w:w="4824"/>
          </w:tcPr>
          <w:p>
            <w:pPr>
              <w:jc w:val="left"/>
            </w:pPr>
            <w:r/>
            <w:r>
              <w:rPr>
                <w:b w:val="0"/>
                <w:sz w:val="18"/>
              </w:rPr>
              <w:t>A9 – Security Logging and Monitoring Failures</w:t>
            </w:r>
          </w:p>
        </w:tc>
        <w:tc>
          <w:tcPr>
            <w:tcW w:type="dxa" w:w="4824"/>
          </w:tcPr>
          <w:p>
            <w:pPr>
              <w:jc w:val="left"/>
            </w:pPr>
            <w:r/>
            <w:r>
              <w:rPr>
                <w:b w:val="0"/>
                <w:sz w:val="18"/>
              </w:rPr>
              <w:t>Insufficient logging, detection, and response capabilities.</w:t>
            </w:r>
          </w:p>
        </w:tc>
      </w:tr>
      <w:tr>
        <w:tc>
          <w:tcPr>
            <w:tcW w:type="dxa" w:w="4824"/>
          </w:tcPr>
          <w:p>
            <w:pPr>
              <w:jc w:val="left"/>
            </w:pPr>
            <w:r/>
            <w:r>
              <w:rPr>
                <w:b w:val="0"/>
                <w:sz w:val="18"/>
              </w:rPr>
              <w:t>A10 – Server‑Side Request Forgery (SSRF)</w:t>
            </w:r>
          </w:p>
        </w:tc>
        <w:tc>
          <w:tcPr>
            <w:tcW w:type="dxa" w:w="4824"/>
          </w:tcPr>
          <w:p>
            <w:pPr>
              <w:jc w:val="left"/>
            </w:pPr>
            <w:r/>
            <w:r>
              <w:rPr>
                <w:b w:val="0"/>
                <w:sz w:val="18"/>
              </w:rPr>
              <w:t>Flaws allowing an attacker to make requests on behalf of the server.</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5"/>
      </w:rPr>
      <w:t>CONFIDENTIAL  ·  RMW-PenStrike  ·  www.rmw-penstrike.com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