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0"/>
          <w:szCs w:val="40"/>
        </w:rPr>
        <w:t xml:space="preserve">Predicting and Explaining Late Delivery Risk</w:t>
      </w:r>
    </w:p>
    <w:p>
      <w:pPr>
        <w:spacing w:after="300"/>
        <w:jc w:val="center"/>
      </w:pPr>
      <w:r>
        <w:rPr>
          <w:color w:val="595959"/>
          <w:sz w:val="26"/>
          <w:szCs w:val="26"/>
        </w:rPr>
        <w:t xml:space="preserve">A Machine Learning Approach to Supply Chain Risk Management</w:t>
      </w:r>
    </w:p>
    <w:p>
      <w:pPr>
        <w:spacing w:after="60"/>
        <w:jc w:val="center"/>
      </w:pPr>
      <w:r>
        <w:rPr>
          <w:i/>
          <w:iCs/>
          <w:sz w:val="22"/>
          <w:szCs w:val="22"/>
        </w:rPr>
        <w:t xml:space="preserve">Research Paper</w:t>
      </w:r>
    </w:p>
    <w:p>
      <w:r>
        <w:br w:type="page"/>
      </w:r>
    </w:p>
    <w:p>
      <w:pPr>
        <w:pStyle w:val="Heading1"/>
        <w:pBdr>
          <w:bottom w:val="single" w:color="1F3864" w:sz="6" w:space="4"/>
        </w:pBdr>
        <w:spacing w:after="160" w:before="320"/>
      </w:pPr>
      <w:r>
        <w:rPr>
          <w:b/>
          <w:bCs/>
          <w:color w:val="1F3864"/>
          <w:sz w:val="26"/>
          <w:szCs w:val="26"/>
        </w:rPr>
        <w:t xml:space="preserve">Abstract</w:t>
      </w:r>
    </w:p>
    <w:p>
      <w:pPr>
        <w:spacing w:after="160" w:line="276"/>
      </w:pPr>
      <w:r>
        <w:rPr>
          <w:sz w:val="21"/>
          <w:szCs w:val="21"/>
        </w:rPr>
        <w:t xml:space="preserve">Late deliveries represent a persistent operational challenge in supply chain management, driving up cost and eroding customer trust. This paper presents an end-to-end machine learning pipeline for predicting the probability that an order will be delivered late, using a dataset of 172,765 completed orders from a multinational logistics operation. We engineer domain-specific features — including a shipping pressure index, an order complexity score, a mode risk flag, and a regional congestion indicator — and compare a Logistic Regression baseline against Random Forest and XGBoost classifiers. The best-performing model (XGBoost) achieves a ROC-AUC of 0.750, identifying shipping mode as the dominant predictor of delivery risk. We further apply SHAP (SHapley Additive exPlanations) to provide order-level interpretability, and translate model output into a three-tier risk classification (Low / Medium / High) suitable for operational use via an interactive dashboard.</w:t>
      </w:r>
    </w:p>
    <w:p>
      <w:pPr>
        <w:pStyle w:val="Heading1"/>
        <w:pBdr>
          <w:bottom w:val="single" w:color="1F3864" w:sz="6" w:space="4"/>
        </w:pBdr>
        <w:spacing w:after="160" w:before="320"/>
      </w:pPr>
      <w:r>
        <w:rPr>
          <w:b/>
          <w:bCs/>
          <w:color w:val="1F3864"/>
          <w:sz w:val="26"/>
          <w:szCs w:val="26"/>
        </w:rPr>
        <w:t xml:space="preserve">1. Introduction</w:t>
      </w:r>
    </w:p>
    <w:p>
      <w:pPr>
        <w:spacing w:after="160" w:line="276"/>
      </w:pPr>
      <w:r>
        <w:rPr>
          <w:sz w:val="21"/>
          <w:szCs w:val="21"/>
        </w:rPr>
        <w:t xml:space="preserve">Reliable delivery performance is a core determinant of customer satisfaction and operating cost in supply chain and logistics operations. When deliveries arrive late, the costs are not limited to the immediate shipment — they cascade into customer service overhead, lost repeat business, and inefficient resource allocation across the wider network. Despite this, many logistics operations remain reactive: delays are identified only after they occur, rather than anticipated in advance.</w:t>
      </w:r>
    </w:p>
    <w:p>
      <w:pPr>
        <w:spacing w:after="160" w:line="276"/>
      </w:pPr>
      <w:r>
        <w:rPr>
          <w:sz w:val="21"/>
          <w:szCs w:val="21"/>
        </w:rPr>
        <w:t xml:space="preserve">This paper addresses that gap by developing a predictive model that estimates late-delivery risk at the point an order is placed, using information already available in the order record — no new data collection is required. The goal is twofold: (1) produce an accurate, well-calibrated risk score for each order, and (2) ensure that score is explainable, so that operations staff can trust and act on it rather than treating it as an opaque black box.</w:t>
      </w:r>
    </w:p>
    <w:p>
      <w:pPr>
        <w:pStyle w:val="Heading1"/>
        <w:pBdr>
          <w:bottom w:val="single" w:color="1F3864" w:sz="6" w:space="4"/>
        </w:pBdr>
        <w:spacing w:after="160" w:before="320"/>
      </w:pPr>
      <w:r>
        <w:rPr>
          <w:b/>
          <w:bCs/>
          <w:color w:val="1F3864"/>
          <w:sz w:val="26"/>
          <w:szCs w:val="26"/>
        </w:rPr>
        <w:t xml:space="preserve">2. Data and Exploratory Analysis</w:t>
      </w:r>
    </w:p>
    <w:p>
      <w:pPr>
        <w:spacing w:after="160" w:line="276"/>
      </w:pPr>
      <w:r>
        <w:rPr>
          <w:sz w:val="21"/>
          <w:szCs w:val="21"/>
        </w:rPr>
        <w:t xml:space="preserve">The dataset comprises 180,519 raw order-line records across 40 fields, covering order timing, shipping mode, customer segment, product category, and financial fields (sales, profit, discount). After removing cancelled orders, 172,765 valid records remained for analysis. No duplicate records were found, and missing values were minimal (fewer than 10 records across two identifier fields).</w:t>
      </w:r>
    </w:p>
    <w:p>
      <w:pPr>
        <w:pStyle w:val="Heading2"/>
        <w:spacing w:after="120" w:before="220"/>
      </w:pPr>
      <w:r>
        <w:rPr>
          <w:b/>
          <w:bCs/>
          <w:color w:val="1F3864"/>
          <w:sz w:val="22"/>
          <w:szCs w:val="22"/>
        </w:rPr>
        <w:t xml:space="preserve">2.1 Class Distribution</w:t>
      </w:r>
    </w:p>
    <w:p>
      <w:pPr>
        <w:spacing w:after="160" w:line="276"/>
      </w:pPr>
      <w:r>
        <w:rPr>
          <w:sz w:val="21"/>
          <w:szCs w:val="21"/>
        </w:rPr>
        <w:t xml:space="preserve">The target variable, Late_delivery_risk, is moderately imbalanced: 98,977 orders (57.3%) were late, versus 73,788 (42.7%) delivered on time or early. This is a mild imbalance rather than a severe one, which informed our choice of imbalance-handling technique (Section 4.3).</w:t>
      </w:r>
    </w:p>
    <w:p>
      <w:pPr>
        <w:pStyle w:val="Heading2"/>
        <w:spacing w:after="120" w:before="220"/>
      </w:pPr>
      <w:r>
        <w:rPr>
          <w:b/>
          <w:bCs/>
          <w:color w:val="1F3864"/>
          <w:sz w:val="22"/>
          <w:szCs w:val="22"/>
        </w:rPr>
        <w:t xml:space="preserve">2.2 Notable Patterns Identified During EDA</w:t>
      </w:r>
    </w:p>
    <w:p>
      <w:pPr>
        <w:pStyle w:val="ListParagraph"/>
        <w:numPr>
          <w:ilvl w:val="0"/>
          <w:numId w:val="2"/>
        </w:numPr>
        <w:spacing w:after="90" w:line="270"/>
      </w:pPr>
      <w:r>
        <w:rPr>
          <w:sz w:val="21"/>
          <w:szCs w:val="21"/>
        </w:rPr>
        <w:t xml:space="preserve">Shipping mode shows a striking split in raw late-delivery rate: orders shipped via expedited methods (Same Day, First Class) were late 86.5% of the time, compared to 49.7% for standard methods (Standard Class, Second Class) — counter to the intuitive assumption that faster shipping reduces delay risk.</w:t>
      </w:r>
    </w:p>
    <w:p>
      <w:pPr>
        <w:pStyle w:val="ListParagraph"/>
        <w:numPr>
          <w:ilvl w:val="0"/>
          <w:numId w:val="2"/>
        </w:numPr>
        <w:spacing w:after="90" w:line="270"/>
      </w:pPr>
      <w:r>
        <w:rPr>
          <w:sz w:val="21"/>
          <w:szCs w:val="21"/>
        </w:rPr>
        <w:t xml:space="preserve">81% of orders were profitable, 19% resulted in a loss, and under 1% broke even, indicating profitability and delivery risk are largely independent dimensions of order quality.</w:t>
      </w:r>
    </w:p>
    <w:p>
      <w:pPr>
        <w:pStyle w:val="ListParagraph"/>
        <w:numPr>
          <w:ilvl w:val="0"/>
          <w:numId w:val="2"/>
        </w:numPr>
        <w:spacing w:after="90" w:line="270"/>
      </w:pPr>
      <w:r>
        <w:rPr>
          <w:sz w:val="21"/>
          <w:szCs w:val="21"/>
        </w:rPr>
        <w:t xml:space="preserve">Customer segment split: Consumer (52%), Corporate (30%), Home Office (18%).</w:t>
      </w:r>
    </w:p>
    <w:p>
      <w:pPr>
        <w:pStyle w:val="Heading1"/>
        <w:pBdr>
          <w:bottom w:val="single" w:color="1F3864" w:sz="6" w:space="4"/>
        </w:pBdr>
        <w:spacing w:after="160" w:before="320"/>
      </w:pPr>
      <w:r>
        <w:rPr>
          <w:b/>
          <w:bCs/>
          <w:color w:val="1F3864"/>
          <w:sz w:val="26"/>
          <w:szCs w:val="26"/>
        </w:rPr>
        <w:t xml:space="preserve">3. Feature Engineering</w:t>
      </w:r>
    </w:p>
    <w:p>
      <w:pPr>
        <w:spacing w:after="160" w:line="276"/>
      </w:pPr>
      <w:r>
        <w:rPr>
          <w:sz w:val="21"/>
          <w:szCs w:val="21"/>
        </w:rPr>
        <w:t xml:space="preserve">Beyond the raw order fields, four engineered features were constructed to capture operational dynamics not directly present in any single column:</w:t>
      </w:r>
    </w:p>
    <w:p>
      <w:pPr>
        <w:pStyle w:val="ListParagraph"/>
        <w:numPr>
          <w:ilvl w:val="0"/>
          <w:numId w:val="2"/>
        </w:numPr>
        <w:spacing w:after="90" w:line="270"/>
      </w:pPr>
      <w:r>
        <w:rPr>
          <w:sz w:val="21"/>
          <w:szCs w:val="21"/>
        </w:rPr>
        <w:t xml:space="preserve">Shipping Pressure Index — order quantity relative to the scheduled shipping window, capturing how much volume is being pushed through a tight timeframe. Late orders showed a higher mean pressure index (0.751) than on-time orders (0.565), suggesting a modest positive association with delay.</w:t>
      </w:r>
    </w:p>
    <w:p>
      <w:pPr>
        <w:pStyle w:val="ListParagraph"/>
        <w:numPr>
          <w:ilvl w:val="0"/>
          <w:numId w:val="2"/>
        </w:numPr>
        <w:spacing w:after="90" w:line="270"/>
      </w:pPr>
      <w:r>
        <w:rPr>
          <w:sz w:val="21"/>
          <w:szCs w:val="21"/>
        </w:rPr>
        <w:t xml:space="preserve">Order Complexity Score — a normalized composite of order quantity and product price. This feature showed negligible difference between late (0.174) and on-time (0.174) orders in isolation, indicating limited standalone predictive value — though it may still contribute in combination with other features within the tree-based models.</w:t>
      </w:r>
    </w:p>
    <w:p>
      <w:pPr>
        <w:pStyle w:val="ListParagraph"/>
        <w:numPr>
          <w:ilvl w:val="0"/>
          <w:numId w:val="2"/>
        </w:numPr>
        <w:spacing w:after="90" w:line="270"/>
      </w:pPr>
      <w:r>
        <w:rPr>
          <w:sz w:val="21"/>
          <w:szCs w:val="21"/>
        </w:rPr>
        <w:t xml:space="preserve">Mode Risk Flag — a binary indicator separating expedited from standard shipping modes, directly reflecting the 86.5% vs 49.7% late-rate split identified in EDA.</w:t>
      </w:r>
    </w:p>
    <w:p>
      <w:pPr>
        <w:pStyle w:val="ListParagraph"/>
        <w:numPr>
          <w:ilvl w:val="0"/>
          <w:numId w:val="2"/>
        </w:numPr>
        <w:spacing w:after="90" w:line="270"/>
      </w:pPr>
      <w:r>
        <w:rPr>
          <w:sz w:val="21"/>
          <w:szCs w:val="21"/>
        </w:rPr>
        <w:t xml:space="preserve">Regional Congestion Indicator — order volume per region (computed on training data only, to avoid leakage), used as a proxy for regional logistics load.</w:t>
      </w:r>
    </w:p>
    <w:p>
      <w:pPr>
        <w:spacing w:after="160" w:line="276"/>
      </w:pPr>
      <w:r>
        <w:rPr>
          <w:sz w:val="21"/>
          <w:szCs w:val="21"/>
        </w:rPr>
        <w:t xml:space="preserve">Low-cardinality categorical variables (Type, Customer Segment, Shipping Mode, Customer Country, Order Status) were one-hot encoded. High-cardinality variables (Category Name, Department Name, Order Region, Product Name) were target-encoded, with encoding maps fit exclusively on the training split to prevent target leakage. All continuous features were standardized (zero mean, unit variance) prior to model fitting.</w:t>
      </w:r>
    </w:p>
    <w:p>
      <w:pPr>
        <w:pStyle w:val="Heading1"/>
        <w:pBdr>
          <w:bottom w:val="single" w:color="1F3864" w:sz="6" w:space="4"/>
        </w:pBdr>
        <w:spacing w:after="160" w:before="320"/>
      </w:pPr>
      <w:r>
        <w:rPr>
          <w:b/>
          <w:bCs/>
          <w:color w:val="1F3864"/>
          <w:sz w:val="26"/>
          <w:szCs w:val="26"/>
        </w:rPr>
        <w:t xml:space="preserve">4. Methodology</w:t>
      </w:r>
    </w:p>
    <w:p>
      <w:pPr>
        <w:pStyle w:val="Heading2"/>
        <w:spacing w:after="120" w:before="220"/>
      </w:pPr>
      <w:r>
        <w:rPr>
          <w:b/>
          <w:bCs/>
          <w:color w:val="1F3864"/>
          <w:sz w:val="22"/>
          <w:szCs w:val="22"/>
        </w:rPr>
        <w:t xml:space="preserve">4.1 Data Leakage Control</w:t>
      </w:r>
    </w:p>
    <w:p>
      <w:pPr>
        <w:spacing w:after="160" w:line="276"/>
      </w:pPr>
      <w:r>
        <w:rPr>
          <w:sz w:val="21"/>
          <w:szCs w:val="21"/>
        </w:rPr>
        <w:t xml:space="preserve">An important methodological step was the exclusion of Delivery Status, Days for Shipping (Real), and Days for Shipment (Scheduled) from the feature set. Delivery Status is a direct textual restatement of the target label. The two shipping-day fields, when compared directly, mathematically define Late_delivery_risk itself — including them produced a trivial classifier with 100% accuracy and a ROC-AUC of 1.0 in early iterations, a clear signature of target leakage rather than genuine predictive skill. Removing these fields was essential to obtain an honest measure of model performance.</w:t>
      </w:r>
    </w:p>
    <w:p>
      <w:pPr>
        <w:pStyle w:val="Heading2"/>
        <w:spacing w:after="120" w:before="220"/>
      </w:pPr>
      <w:r>
        <w:rPr>
          <w:b/>
          <w:bCs/>
          <w:color w:val="1F3864"/>
          <w:sz w:val="22"/>
          <w:szCs w:val="22"/>
        </w:rPr>
        <w:t xml:space="preserve">4.2 Train/Test Split</w:t>
      </w:r>
    </w:p>
    <w:p>
      <w:pPr>
        <w:spacing w:after="160" w:line="276"/>
      </w:pPr>
      <w:r>
        <w:rPr>
          <w:sz w:val="21"/>
          <w:szCs w:val="21"/>
        </w:rPr>
        <w:t xml:space="preserve">Data was split 80/20 into training and test sets (n=138,212 train, n=34,553 test), with all encoding and scaling parameters fit on the training set only and applied unchanged to the test set.</w:t>
      </w:r>
    </w:p>
    <w:p>
      <w:pPr>
        <w:pStyle w:val="Heading2"/>
        <w:spacing w:after="120" w:before="220"/>
      </w:pPr>
      <w:r>
        <w:rPr>
          <w:b/>
          <w:bCs/>
          <w:color w:val="1F3864"/>
          <w:sz w:val="22"/>
          <w:szCs w:val="22"/>
        </w:rPr>
        <w:t xml:space="preserve">4.3 Class Imbalance Handling</w:t>
      </w:r>
    </w:p>
    <w:p>
      <w:pPr>
        <w:spacing w:after="160" w:line="276"/>
      </w:pPr>
      <w:r>
        <w:rPr>
          <w:sz w:val="21"/>
          <w:szCs w:val="21"/>
        </w:rPr>
        <w:t xml:space="preserve">Given the mild (57/43) class imbalance, class-weight rebalancing was used rather than synthetic oversampling (SMOTE). Logistic Regression and Random Forest used class_weight='balanced'; XGBoost used an equivalent scale_pos_weight adjustment. This avoids the added complexity and potential distortion of synthetic sample generation, which is more suited to severe imbalance scenarios.</w:t>
      </w:r>
    </w:p>
    <w:p>
      <w:pPr>
        <w:pStyle w:val="Heading2"/>
        <w:spacing w:after="120" w:before="220"/>
      </w:pPr>
      <w:r>
        <w:rPr>
          <w:b/>
          <w:bCs/>
          <w:color w:val="1F3864"/>
          <w:sz w:val="22"/>
          <w:szCs w:val="22"/>
        </w:rPr>
        <w:t xml:space="preserve">4.4 Models Evaluated</w:t>
      </w:r>
    </w:p>
    <w:p>
      <w:pPr>
        <w:spacing w:after="160" w:line="276"/>
      </w:pPr>
      <w:r>
        <w:rPr>
          <w:sz w:val="21"/>
          <w:szCs w:val="21"/>
        </w:rPr>
        <w:t xml:space="preserve">Three classifiers were trained and compared:</w:t>
      </w:r>
    </w:p>
    <w:p>
      <w:pPr>
        <w:pStyle w:val="ListParagraph"/>
        <w:numPr>
          <w:ilvl w:val="0"/>
          <w:numId w:val="2"/>
        </w:numPr>
        <w:spacing w:after="90" w:line="270"/>
      </w:pPr>
      <w:r>
        <w:rPr>
          <w:sz w:val="21"/>
          <w:szCs w:val="21"/>
        </w:rPr>
        <w:t xml:space="preserve">Logistic Regression — baseline model, chosen for its interpretability via coefficients and odds ratios.</w:t>
      </w:r>
    </w:p>
    <w:p>
      <w:pPr>
        <w:pStyle w:val="ListParagraph"/>
        <w:numPr>
          <w:ilvl w:val="0"/>
          <w:numId w:val="2"/>
        </w:numPr>
        <w:spacing w:after="90" w:line="270"/>
      </w:pPr>
      <w:r>
        <w:rPr>
          <w:sz w:val="21"/>
          <w:szCs w:val="21"/>
        </w:rPr>
        <w:t xml:space="preserve">Random Forest Classifier (200 trees) — an ensemble method robust to feature scale and interaction effects.</w:t>
      </w:r>
    </w:p>
    <w:p>
      <w:pPr>
        <w:pStyle w:val="ListParagraph"/>
        <w:numPr>
          <w:ilvl w:val="0"/>
          <w:numId w:val="2"/>
        </w:numPr>
        <w:spacing w:after="90" w:line="270"/>
      </w:pPr>
      <w:r>
        <w:rPr>
          <w:sz w:val="21"/>
          <w:szCs w:val="21"/>
        </w:rPr>
        <w:t xml:space="preserve">XGBoost Classifier (200 estimators) — a gradient-boosted ensemble, generally strong on structured/tabular data.</w:t>
      </w:r>
    </w:p>
    <w:p>
      <w:pPr>
        <w:pStyle w:val="Heading1"/>
        <w:pBdr>
          <w:bottom w:val="single" w:color="1F3864" w:sz="6" w:space="4"/>
        </w:pBdr>
        <w:spacing w:after="160" w:before="320"/>
      </w:pPr>
      <w:r>
        <w:rPr>
          <w:b/>
          <w:bCs/>
          <w:color w:val="1F3864"/>
          <w:sz w:val="26"/>
          <w:szCs w:val="26"/>
        </w:rPr>
        <w:t xml:space="preserve">5. Results</w:t>
      </w:r>
    </w:p>
    <w:p>
      <w:pPr>
        <w:pStyle w:val="Heading2"/>
        <w:spacing w:after="120" w:before="220"/>
      </w:pPr>
      <w:r>
        <w:rPr>
          <w:b/>
          <w:bCs/>
          <w:color w:val="1F3864"/>
          <w:sz w:val="22"/>
          <w:szCs w:val="22"/>
        </w:rPr>
        <w:t xml:space="preserve">5.1 Model Performance Comparison</w:t>
      </w:r>
    </w:p>
    <w:p>
      <w:pPr>
        <w:spacing w:after="160" w:line="276"/>
      </w:pPr>
      <w:r>
        <w:rPr>
          <w:sz w:val="21"/>
          <w:szCs w:val="21"/>
        </w:rPr>
        <w:t xml:space="preserve">Table 1 summarizes test-set performance across all three models. Class 0 = on-time delivery, Class 1 = late delivery.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900"/>
            <w:shd w:fill="1F3864" w:val="clear"/>
            <w:tcMar>
              <w:top w:type="dxa" w:w="90"/>
              <w:left w:type="dxa" w:w="120"/>
              <w:bottom w:type="dxa" w:w="90"/>
              <w:right w:type="dxa" w:w="120"/>
            </w:tcMar>
          </w:tcPr>
          <w:p>
            <w:pPr>
              <w:jc w:val="left"/>
            </w:pPr>
            <w:r>
              <w:rPr>
                <w:b/>
                <w:bCs/>
                <w:color w:val="FFFFFF"/>
                <w:sz w:val="19"/>
                <w:szCs w:val="19"/>
              </w:rPr>
              <w:t xml:space="preserve">Model</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Prec (0)</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Rec (0)</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F1 (0)</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Prec (1)</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Rec (1)</w:t>
            </w:r>
          </w:p>
        </w:tc>
        <w:tc>
          <w:tcPr>
            <w:tcW w:type="dxa" w:w="900"/>
            <w:shd w:fill="1F3864" w:val="clear"/>
            <w:tcMar>
              <w:top w:type="dxa" w:w="90"/>
              <w:left w:type="dxa" w:w="120"/>
              <w:bottom w:type="dxa" w:w="90"/>
              <w:right w:type="dxa" w:w="120"/>
            </w:tcMar>
          </w:tcPr>
          <w:p>
            <w:pPr>
              <w:jc w:val="center"/>
            </w:pPr>
            <w:r>
              <w:rPr>
                <w:b/>
                <w:bCs/>
                <w:color w:val="FFFFFF"/>
                <w:sz w:val="19"/>
                <w:szCs w:val="19"/>
              </w:rPr>
              <w:t xml:space="preserve">F1 (1)</w:t>
            </w:r>
          </w:p>
        </w:tc>
        <w:tc>
          <w:tcPr>
            <w:tcW w:type="dxa" w:w="1000"/>
            <w:shd w:fill="1F3864" w:val="clear"/>
            <w:tcMar>
              <w:top w:type="dxa" w:w="90"/>
              <w:left w:type="dxa" w:w="120"/>
              <w:bottom w:type="dxa" w:w="90"/>
              <w:right w:type="dxa" w:w="120"/>
            </w:tcMar>
          </w:tcPr>
          <w:p>
            <w:pPr>
              <w:jc w:val="center"/>
            </w:pPr>
            <w:r>
              <w:rPr>
                <w:b/>
                <w:bCs/>
                <w:color w:val="FFFFFF"/>
                <w:sz w:val="19"/>
                <w:szCs w:val="19"/>
              </w:rPr>
              <w:t xml:space="preserve">Accuracy</w:t>
            </w:r>
          </w:p>
        </w:tc>
        <w:tc>
          <w:tcPr>
            <w:tcW w:type="dxa" w:w="1100"/>
            <w:shd w:fill="1F3864" w:val="clear"/>
            <w:tcMar>
              <w:top w:type="dxa" w:w="90"/>
              <w:left w:type="dxa" w:w="120"/>
              <w:bottom w:type="dxa" w:w="90"/>
              <w:right w:type="dxa" w:w="120"/>
            </w:tcMar>
          </w:tcPr>
          <w:p>
            <w:pPr>
              <w:jc w:val="center"/>
            </w:pPr>
            <w:r>
              <w:rPr>
                <w:b/>
                <w:bCs/>
                <w:color w:val="FFFFFF"/>
                <w:sz w:val="19"/>
                <w:szCs w:val="19"/>
              </w:rPr>
              <w:t xml:space="preserve">ROC-AUC</w:t>
            </w:r>
          </w:p>
        </w:tc>
      </w:tr>
      <w:tr>
        <w:tc>
          <w:tcPr>
            <w:tcW w:type="dxa" w:w="1900"/>
            <w:tcMar>
              <w:top w:type="dxa" w:w="90"/>
              <w:left w:type="dxa" w:w="120"/>
              <w:bottom w:type="dxa" w:w="90"/>
              <w:right w:type="dxa" w:w="120"/>
            </w:tcMar>
          </w:tcPr>
          <w:p>
            <w:pPr>
              <w:jc w:val="left"/>
            </w:pPr>
            <w:r>
              <w:rPr>
                <w:b w:val="false"/>
                <w:bCs w:val="false"/>
                <w:color w:val="000000"/>
                <w:sz w:val="19"/>
                <w:szCs w:val="19"/>
              </w:rPr>
              <w:t xml:space="preserve">Logistic Regression</w:t>
            </w:r>
          </w:p>
        </w:tc>
        <w:tc>
          <w:tcPr>
            <w:tcW w:type="dxa" w:w="900"/>
            <w:tcMar>
              <w:top w:type="dxa" w:w="90"/>
              <w:left w:type="dxa" w:w="120"/>
              <w:bottom w:type="dxa" w:w="90"/>
              <w:right w:type="dxa" w:w="120"/>
            </w:tcMar>
          </w:tcPr>
          <w:p>
            <w:pPr>
              <w:jc w:val="center"/>
            </w:pPr>
            <w:r>
              <w:rPr>
                <w:b w:val="false"/>
                <w:bCs w:val="false"/>
                <w:color w:val="000000"/>
                <w:sz w:val="19"/>
                <w:szCs w:val="19"/>
              </w:rPr>
              <w:t xml:space="preserve">0.60</w:t>
            </w:r>
          </w:p>
        </w:tc>
        <w:tc>
          <w:tcPr>
            <w:tcW w:type="dxa" w:w="900"/>
            <w:tcMar>
              <w:top w:type="dxa" w:w="90"/>
              <w:left w:type="dxa" w:w="120"/>
              <w:bottom w:type="dxa" w:w="90"/>
              <w:right w:type="dxa" w:w="120"/>
            </w:tcMar>
          </w:tcPr>
          <w:p>
            <w:pPr>
              <w:jc w:val="center"/>
            </w:pPr>
            <w:r>
              <w:rPr>
                <w:b w:val="false"/>
                <w:bCs w:val="false"/>
                <w:color w:val="000000"/>
                <w:sz w:val="19"/>
                <w:szCs w:val="19"/>
              </w:rPr>
              <w:t xml:space="preserve">0.90</w:t>
            </w:r>
          </w:p>
        </w:tc>
        <w:tc>
          <w:tcPr>
            <w:tcW w:type="dxa" w:w="900"/>
            <w:tcMar>
              <w:top w:type="dxa" w:w="90"/>
              <w:left w:type="dxa" w:w="120"/>
              <w:bottom w:type="dxa" w:w="90"/>
              <w:right w:type="dxa" w:w="120"/>
            </w:tcMar>
          </w:tcPr>
          <w:p>
            <w:pPr>
              <w:jc w:val="center"/>
            </w:pPr>
            <w:r>
              <w:rPr>
                <w:b w:val="false"/>
                <w:bCs w:val="false"/>
                <w:color w:val="000000"/>
                <w:sz w:val="19"/>
                <w:szCs w:val="19"/>
              </w:rPr>
              <w:t xml:space="preserve">0.72</w:t>
            </w:r>
          </w:p>
        </w:tc>
        <w:tc>
          <w:tcPr>
            <w:tcW w:type="dxa" w:w="900"/>
            <w:tcMar>
              <w:top w:type="dxa" w:w="90"/>
              <w:left w:type="dxa" w:w="120"/>
              <w:bottom w:type="dxa" w:w="90"/>
              <w:right w:type="dxa" w:w="120"/>
            </w:tcMar>
          </w:tcPr>
          <w:p>
            <w:pPr>
              <w:jc w:val="center"/>
            </w:pPr>
            <w:r>
              <w:rPr>
                <w:b w:val="false"/>
                <w:bCs w:val="false"/>
                <w:color w:val="000000"/>
                <w:sz w:val="19"/>
                <w:szCs w:val="19"/>
              </w:rPr>
              <w:t xml:space="preserve">0.89</w:t>
            </w:r>
          </w:p>
        </w:tc>
        <w:tc>
          <w:tcPr>
            <w:tcW w:type="dxa" w:w="900"/>
            <w:tcMar>
              <w:top w:type="dxa" w:w="90"/>
              <w:left w:type="dxa" w:w="120"/>
              <w:bottom w:type="dxa" w:w="90"/>
              <w:right w:type="dxa" w:w="120"/>
            </w:tcMar>
          </w:tcPr>
          <w:p>
            <w:pPr>
              <w:jc w:val="center"/>
            </w:pPr>
            <w:r>
              <w:rPr>
                <w:b w:val="false"/>
                <w:bCs w:val="false"/>
                <w:color w:val="000000"/>
                <w:sz w:val="19"/>
                <w:szCs w:val="19"/>
              </w:rPr>
              <w:t xml:space="preserve">0.55</w:t>
            </w:r>
          </w:p>
        </w:tc>
        <w:tc>
          <w:tcPr>
            <w:tcW w:type="dxa" w:w="900"/>
            <w:tcMar>
              <w:top w:type="dxa" w:w="90"/>
              <w:left w:type="dxa" w:w="120"/>
              <w:bottom w:type="dxa" w:w="90"/>
              <w:right w:type="dxa" w:w="120"/>
            </w:tcMar>
          </w:tcPr>
          <w:p>
            <w:pPr>
              <w:jc w:val="center"/>
            </w:pPr>
            <w:r>
              <w:rPr>
                <w:b w:val="false"/>
                <w:bCs w:val="false"/>
                <w:color w:val="000000"/>
                <w:sz w:val="19"/>
                <w:szCs w:val="19"/>
              </w:rPr>
              <w:t xml:space="preserve">0.68</w:t>
            </w:r>
          </w:p>
        </w:tc>
        <w:tc>
          <w:tcPr>
            <w:tcW w:type="dxa" w:w="1000"/>
            <w:tcMar>
              <w:top w:type="dxa" w:w="90"/>
              <w:left w:type="dxa" w:w="120"/>
              <w:bottom w:type="dxa" w:w="90"/>
              <w:right w:type="dxa" w:w="120"/>
            </w:tcMar>
          </w:tcPr>
          <w:p>
            <w:pPr>
              <w:jc w:val="center"/>
            </w:pPr>
            <w:r>
              <w:rPr>
                <w:b w:val="false"/>
                <w:bCs w:val="false"/>
                <w:color w:val="000000"/>
                <w:sz w:val="19"/>
                <w:szCs w:val="19"/>
              </w:rPr>
              <w:t xml:space="preserve">0.70</w:t>
            </w:r>
          </w:p>
        </w:tc>
        <w:tc>
          <w:tcPr>
            <w:tcW w:type="dxa" w:w="1100"/>
            <w:tcMar>
              <w:top w:type="dxa" w:w="90"/>
              <w:left w:type="dxa" w:w="120"/>
              <w:bottom w:type="dxa" w:w="90"/>
              <w:right w:type="dxa" w:w="120"/>
            </w:tcMar>
          </w:tcPr>
          <w:p>
            <w:pPr>
              <w:jc w:val="center"/>
            </w:pPr>
            <w:r>
              <w:rPr>
                <w:b w:val="false"/>
                <w:bCs w:val="false"/>
                <w:color w:val="000000"/>
                <w:sz w:val="19"/>
                <w:szCs w:val="19"/>
              </w:rPr>
              <w:t xml:space="preserve">0.748</w:t>
            </w:r>
          </w:p>
        </w:tc>
      </w:tr>
      <w:tr>
        <w:tc>
          <w:tcPr>
            <w:tcW w:type="dxa" w:w="1900"/>
            <w:shd w:fill="F2F2F2" w:val="clear"/>
            <w:tcMar>
              <w:top w:type="dxa" w:w="90"/>
              <w:left w:type="dxa" w:w="120"/>
              <w:bottom w:type="dxa" w:w="90"/>
              <w:right w:type="dxa" w:w="120"/>
            </w:tcMar>
          </w:tcPr>
          <w:p>
            <w:pPr>
              <w:jc w:val="left"/>
            </w:pPr>
            <w:r>
              <w:rPr>
                <w:b w:val="false"/>
                <w:bCs w:val="false"/>
                <w:color w:val="000000"/>
                <w:sz w:val="19"/>
                <w:szCs w:val="19"/>
              </w:rPr>
              <w:t xml:space="preserve">Random Forest</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0.60</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0.69</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0.64</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0.74</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0.67</w:t>
            </w:r>
          </w:p>
        </w:tc>
        <w:tc>
          <w:tcPr>
            <w:tcW w:type="dxa" w:w="900"/>
            <w:shd w:fill="F2F2F2" w:val="clear"/>
            <w:tcMar>
              <w:top w:type="dxa" w:w="90"/>
              <w:left w:type="dxa" w:w="120"/>
              <w:bottom w:type="dxa" w:w="90"/>
              <w:right w:type="dxa" w:w="120"/>
            </w:tcMar>
          </w:tcPr>
          <w:p>
            <w:pPr>
              <w:jc w:val="center"/>
            </w:pPr>
            <w:r>
              <w:rPr>
                <w:b w:val="false"/>
                <w:bCs w:val="false"/>
                <w:color w:val="000000"/>
                <w:sz w:val="19"/>
                <w:szCs w:val="19"/>
              </w:rPr>
              <w:t xml:space="preserve">0.70</w:t>
            </w:r>
          </w:p>
        </w:tc>
        <w:tc>
          <w:tcPr>
            <w:tcW w:type="dxa" w:w="1000"/>
            <w:shd w:fill="F2F2F2" w:val="clear"/>
            <w:tcMar>
              <w:top w:type="dxa" w:w="90"/>
              <w:left w:type="dxa" w:w="120"/>
              <w:bottom w:type="dxa" w:w="90"/>
              <w:right w:type="dxa" w:w="120"/>
            </w:tcMar>
          </w:tcPr>
          <w:p>
            <w:pPr>
              <w:jc w:val="center"/>
            </w:pPr>
            <w:r>
              <w:rPr>
                <w:b w:val="false"/>
                <w:bCs w:val="false"/>
                <w:color w:val="000000"/>
                <w:sz w:val="19"/>
                <w:szCs w:val="19"/>
              </w:rPr>
              <w:t xml:space="preserve">0.68</w:t>
            </w:r>
          </w:p>
        </w:tc>
        <w:tc>
          <w:tcPr>
            <w:tcW w:type="dxa" w:w="1100"/>
            <w:shd w:fill="F2F2F2" w:val="clear"/>
            <w:tcMar>
              <w:top w:type="dxa" w:w="90"/>
              <w:left w:type="dxa" w:w="120"/>
              <w:bottom w:type="dxa" w:w="90"/>
              <w:right w:type="dxa" w:w="120"/>
            </w:tcMar>
          </w:tcPr>
          <w:p>
            <w:pPr>
              <w:jc w:val="center"/>
            </w:pPr>
            <w:r>
              <w:rPr>
                <w:b w:val="false"/>
                <w:bCs w:val="false"/>
                <w:color w:val="000000"/>
                <w:sz w:val="19"/>
                <w:szCs w:val="19"/>
              </w:rPr>
              <w:t xml:space="preserve">0.746</w:t>
            </w:r>
          </w:p>
        </w:tc>
      </w:tr>
      <w:tr>
        <w:tc>
          <w:tcPr>
            <w:tcW w:type="dxa" w:w="1900"/>
            <w:tcMar>
              <w:top w:type="dxa" w:w="90"/>
              <w:left w:type="dxa" w:w="120"/>
              <w:bottom w:type="dxa" w:w="90"/>
              <w:right w:type="dxa" w:w="120"/>
            </w:tcMar>
          </w:tcPr>
          <w:p>
            <w:pPr>
              <w:jc w:val="left"/>
            </w:pPr>
            <w:r>
              <w:rPr>
                <w:b w:val="false"/>
                <w:bCs w:val="false"/>
                <w:color w:val="000000"/>
                <w:sz w:val="19"/>
                <w:szCs w:val="19"/>
              </w:rPr>
              <w:t xml:space="preserve">XGBoost</w:t>
            </w:r>
          </w:p>
        </w:tc>
        <w:tc>
          <w:tcPr>
            <w:tcW w:type="dxa" w:w="900"/>
            <w:tcMar>
              <w:top w:type="dxa" w:w="90"/>
              <w:left w:type="dxa" w:w="120"/>
              <w:bottom w:type="dxa" w:w="90"/>
              <w:right w:type="dxa" w:w="120"/>
            </w:tcMar>
          </w:tcPr>
          <w:p>
            <w:pPr>
              <w:jc w:val="center"/>
            </w:pPr>
            <w:r>
              <w:rPr>
                <w:b w:val="false"/>
                <w:bCs w:val="false"/>
                <w:color w:val="000000"/>
                <w:sz w:val="19"/>
                <w:szCs w:val="19"/>
              </w:rPr>
              <w:t xml:space="preserve">0.60</w:t>
            </w:r>
          </w:p>
        </w:tc>
        <w:tc>
          <w:tcPr>
            <w:tcW w:type="dxa" w:w="900"/>
            <w:tcMar>
              <w:top w:type="dxa" w:w="90"/>
              <w:left w:type="dxa" w:w="120"/>
              <w:bottom w:type="dxa" w:w="90"/>
              <w:right w:type="dxa" w:w="120"/>
            </w:tcMar>
          </w:tcPr>
          <w:p>
            <w:pPr>
              <w:jc w:val="center"/>
            </w:pPr>
            <w:r>
              <w:rPr>
                <w:b w:val="false"/>
                <w:bCs w:val="false"/>
                <w:color w:val="000000"/>
                <w:sz w:val="19"/>
                <w:szCs w:val="19"/>
              </w:rPr>
              <w:t xml:space="preserve">0.87</w:t>
            </w:r>
          </w:p>
        </w:tc>
        <w:tc>
          <w:tcPr>
            <w:tcW w:type="dxa" w:w="900"/>
            <w:tcMar>
              <w:top w:type="dxa" w:w="90"/>
              <w:left w:type="dxa" w:w="120"/>
              <w:bottom w:type="dxa" w:w="90"/>
              <w:right w:type="dxa" w:w="120"/>
            </w:tcMar>
          </w:tcPr>
          <w:p>
            <w:pPr>
              <w:jc w:val="center"/>
            </w:pPr>
            <w:r>
              <w:rPr>
                <w:b w:val="false"/>
                <w:bCs w:val="false"/>
                <w:color w:val="000000"/>
                <w:sz w:val="19"/>
                <w:szCs w:val="19"/>
              </w:rPr>
              <w:t xml:space="preserve">0.71</w:t>
            </w:r>
          </w:p>
        </w:tc>
        <w:tc>
          <w:tcPr>
            <w:tcW w:type="dxa" w:w="900"/>
            <w:tcMar>
              <w:top w:type="dxa" w:w="90"/>
              <w:left w:type="dxa" w:w="120"/>
              <w:bottom w:type="dxa" w:w="90"/>
              <w:right w:type="dxa" w:w="120"/>
            </w:tcMar>
          </w:tcPr>
          <w:p>
            <w:pPr>
              <w:jc w:val="center"/>
            </w:pPr>
            <w:r>
              <w:rPr>
                <w:b w:val="false"/>
                <w:bCs w:val="false"/>
                <w:color w:val="000000"/>
                <w:sz w:val="19"/>
                <w:szCs w:val="19"/>
              </w:rPr>
              <w:t xml:space="preserve">0.85</w:t>
            </w:r>
          </w:p>
        </w:tc>
        <w:tc>
          <w:tcPr>
            <w:tcW w:type="dxa" w:w="900"/>
            <w:tcMar>
              <w:top w:type="dxa" w:w="90"/>
              <w:left w:type="dxa" w:w="120"/>
              <w:bottom w:type="dxa" w:w="90"/>
              <w:right w:type="dxa" w:w="120"/>
            </w:tcMar>
          </w:tcPr>
          <w:p>
            <w:pPr>
              <w:jc w:val="center"/>
            </w:pPr>
            <w:r>
              <w:rPr>
                <w:b w:val="false"/>
                <w:bCs w:val="false"/>
                <w:color w:val="000000"/>
                <w:sz w:val="19"/>
                <w:szCs w:val="19"/>
              </w:rPr>
              <w:t xml:space="preserve">0.57</w:t>
            </w:r>
          </w:p>
        </w:tc>
        <w:tc>
          <w:tcPr>
            <w:tcW w:type="dxa" w:w="900"/>
            <w:tcMar>
              <w:top w:type="dxa" w:w="90"/>
              <w:left w:type="dxa" w:w="120"/>
              <w:bottom w:type="dxa" w:w="90"/>
              <w:right w:type="dxa" w:w="120"/>
            </w:tcMar>
          </w:tcPr>
          <w:p>
            <w:pPr>
              <w:jc w:val="center"/>
            </w:pPr>
            <w:r>
              <w:rPr>
                <w:b w:val="false"/>
                <w:bCs w:val="false"/>
                <w:color w:val="000000"/>
                <w:sz w:val="19"/>
                <w:szCs w:val="19"/>
              </w:rPr>
              <w:t xml:space="preserve">0.68</w:t>
            </w:r>
          </w:p>
        </w:tc>
        <w:tc>
          <w:tcPr>
            <w:tcW w:type="dxa" w:w="1000"/>
            <w:tcMar>
              <w:top w:type="dxa" w:w="90"/>
              <w:left w:type="dxa" w:w="120"/>
              <w:bottom w:type="dxa" w:w="90"/>
              <w:right w:type="dxa" w:w="120"/>
            </w:tcMar>
          </w:tcPr>
          <w:p>
            <w:pPr>
              <w:jc w:val="center"/>
            </w:pPr>
            <w:r>
              <w:rPr>
                <w:b w:val="false"/>
                <w:bCs w:val="false"/>
                <w:color w:val="000000"/>
                <w:sz w:val="19"/>
                <w:szCs w:val="19"/>
              </w:rPr>
              <w:t xml:space="preserve">0.70</w:t>
            </w:r>
          </w:p>
        </w:tc>
        <w:tc>
          <w:tcPr>
            <w:tcW w:type="dxa" w:w="1100"/>
            <w:tcMar>
              <w:top w:type="dxa" w:w="90"/>
              <w:left w:type="dxa" w:w="120"/>
              <w:bottom w:type="dxa" w:w="90"/>
              <w:right w:type="dxa" w:w="120"/>
            </w:tcMar>
          </w:tcPr>
          <w:p>
            <w:pPr>
              <w:jc w:val="center"/>
            </w:pPr>
            <w:r>
              <w:rPr>
                <w:b w:val="false"/>
                <w:bCs w:val="false"/>
                <w:color w:val="000000"/>
                <w:sz w:val="19"/>
                <w:szCs w:val="19"/>
              </w:rPr>
              <w:t xml:space="preserve">0.750</w:t>
            </w:r>
          </w:p>
        </w:tc>
      </w:tr>
    </w:tbl>
    <w:p>
      <w:pPr>
        <w:spacing w:after="160" w:before="160"/>
      </w:pPr>
      <w:r>
        <w:rPr>
          <w:i/>
          <w:iCs/>
          <w:color w:val="595959"/>
          <w:sz w:val="19"/>
          <w:szCs w:val="19"/>
        </w:rPr>
        <w:t xml:space="preserve">Table 1. Test-set classification performance by model.</w:t>
      </w:r>
    </w:p>
    <w:p>
      <w:pPr>
        <w:spacing w:after="160" w:line="276"/>
      </w:pPr>
      <w:r>
        <w:rPr>
          <w:sz w:val="21"/>
          <w:szCs w:val="21"/>
        </w:rPr>
        <w:t xml:space="preserve">All three models perform comparably, in the range of 68–70% accuracy and 0.746–0.750 ROC-AUC. XGBoost was selected as the production model on the basis of marginally superior ROC-AUC and its built-in support for SHAP-based explainability, though the practical difference between XGBoost and Logistic Regression is small. This similarity across model types suggests the available features carry a moderate, but not overwhelming, predictive signal — a realistic and defensible result for an operational delay-prediction problem, in contrast to the inflated 100% accuracy observed prior to leakage correction.</w:t>
      </w:r>
    </w:p>
    <w:p>
      <w:pPr>
        <w:pStyle w:val="Heading2"/>
        <w:spacing w:after="120" w:before="220"/>
      </w:pPr>
      <w:r>
        <w:rPr>
          <w:b/>
          <w:bCs/>
          <w:color w:val="1F3864"/>
          <w:sz w:val="22"/>
          <w:szCs w:val="22"/>
        </w:rPr>
        <w:t xml:space="preserve">5.2 Feature Importance</w:t>
      </w:r>
    </w:p>
    <w:p>
      <w:pPr>
        <w:spacing w:after="160" w:line="276"/>
      </w:pPr>
      <w:r>
        <w:rPr>
          <w:sz w:val="21"/>
          <w:szCs w:val="21"/>
        </w:rPr>
        <w:t xml:space="preserve">Feature importance rankings differed notably between model types, reflecting their different sensitivities to feature interactions and correlated variables.</w:t>
      </w:r>
    </w:p>
    <w:p>
      <w:pPr>
        <w:spacing w:after="160" w:line="276"/>
      </w:pPr>
      <w:r>
        <w:rPr>
          <w:sz w:val="21"/>
          <w:szCs w:val="21"/>
        </w:rPr>
        <w:t xml:space="preserve">XGBoost ranked shipping-mode-related features overwhelmingly highest: Standard Class shipping (47.5% relative importance), Same Day shipping (26.2%), and the engineered Mode Risk Flag (20.4%) together accounted for the large majority of the model's decision weight. Random Forest presented a more distributed picture, with Order Profit Per Order (13.9%), Order Item Profit Ratio (11.5%), Standard Class shipping (10.3%), Order Item Total (9.3%), and Sales per Customer (9.3%) all contributing meaningfully, alongside Regional Congestion Indicator (5.7%) and Order Region (5.7%).</w:t>
      </w:r>
    </w:p>
    <w:p>
      <w:pPr>
        <w:spacing w:after="160" w:line="276"/>
      </w:pPr>
      <w:r>
        <w:rPr>
          <w:sz w:val="21"/>
          <w:szCs w:val="21"/>
        </w:rPr>
        <w:t xml:space="preserve">Logistic Regression coefficients for shipping-mode variables were large in magnitude but should be interpreted with caution: the Mode Risk Flag is derived directly from Shipping Mode, introducing multicollinearity that destabilizes individual coefficient estimates in a linear model. The tree-based models, which are robust to correlated inputs, are considered more reliable for ranking feature importance in this case; both independently converge on shipping mode as the dominant factor, which strengthens confidence in that specific finding.</w:t>
      </w:r>
    </w:p>
    <w:p>
      <w:pPr>
        <w:pStyle w:val="Heading2"/>
        <w:spacing w:after="120" w:before="220"/>
      </w:pPr>
      <w:r>
        <w:rPr>
          <w:b/>
          <w:bCs/>
          <w:color w:val="1F3864"/>
          <w:sz w:val="22"/>
          <w:szCs w:val="22"/>
        </w:rPr>
        <w:t xml:space="preserve">5.3 Risk Categorization</w:t>
      </w:r>
    </w:p>
    <w:p>
      <w:pPr>
        <w:spacing w:after="160" w:line="276"/>
      </w:pPr>
      <w:r>
        <w:rPr>
          <w:sz w:val="21"/>
          <w:szCs w:val="21"/>
        </w:rPr>
        <w:t xml:space="preserve">Model probabilities were bucketed into three operational tiers using fixed thresholds (Low: &lt;0.33, Medium: 0.33–0.66, High: ≥0.66). Across the 34,553 test orders, this produced 11,857 High Risk, 11,770 Medium Risk, and 10,926 Low Risk 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Mar>
              <w:top w:type="dxa" w:w="90"/>
              <w:left w:type="dxa" w:w="120"/>
              <w:bottom w:type="dxa" w:w="90"/>
              <w:right w:type="dxa" w:w="120"/>
            </w:tcMar>
          </w:tcPr>
          <w:p>
            <w:pPr>
              <w:jc w:val="left"/>
            </w:pPr>
            <w:r>
              <w:rPr>
                <w:b/>
                <w:bCs/>
                <w:color w:val="FFFFFF"/>
                <w:sz w:val="19"/>
                <w:szCs w:val="19"/>
              </w:rPr>
              <w:t xml:space="preserve">Risk Category</w:t>
            </w:r>
          </w:p>
        </w:tc>
        <w:tc>
          <w:tcPr>
            <w:tcW w:type="dxa" w:w="4500"/>
            <w:shd w:fill="1F3864" w:val="clear"/>
            <w:tcMar>
              <w:top w:type="dxa" w:w="90"/>
              <w:left w:type="dxa" w:w="120"/>
              <w:bottom w:type="dxa" w:w="90"/>
              <w:right w:type="dxa" w:w="120"/>
            </w:tcMar>
          </w:tcPr>
          <w:p>
            <w:pPr>
              <w:jc w:val="center"/>
            </w:pPr>
            <w:r>
              <w:rPr>
                <w:b/>
                <w:bCs/>
                <w:color w:val="FFFFFF"/>
                <w:sz w:val="19"/>
                <w:szCs w:val="19"/>
              </w:rPr>
              <w:t xml:space="preserve">Actual Late-Delivery Rate</w:t>
            </w:r>
          </w:p>
        </w:tc>
      </w:tr>
      <w:tr>
        <w:tc>
          <w:tcPr>
            <w:tcW w:type="dxa" w:w="4500"/>
            <w:tcMar>
              <w:top w:type="dxa" w:w="90"/>
              <w:left w:type="dxa" w:w="120"/>
              <w:bottom w:type="dxa" w:w="90"/>
              <w:right w:type="dxa" w:w="120"/>
            </w:tcMar>
          </w:tcPr>
          <w:p>
            <w:pPr>
              <w:jc w:val="left"/>
            </w:pPr>
            <w:r>
              <w:rPr>
                <w:b w:val="false"/>
                <w:bCs w:val="false"/>
                <w:color w:val="000000"/>
                <w:sz w:val="19"/>
                <w:szCs w:val="19"/>
              </w:rPr>
              <w:t xml:space="preserve">High Risk</w:t>
            </w:r>
          </w:p>
        </w:tc>
        <w:tc>
          <w:tcPr>
            <w:tcW w:type="dxa" w:w="4500"/>
            <w:tcMar>
              <w:top w:type="dxa" w:w="90"/>
              <w:left w:type="dxa" w:w="120"/>
              <w:bottom w:type="dxa" w:w="90"/>
              <w:right w:type="dxa" w:w="120"/>
            </w:tcMar>
          </w:tcPr>
          <w:p>
            <w:pPr>
              <w:jc w:val="center"/>
            </w:pPr>
            <w:r>
              <w:rPr>
                <w:b w:val="false"/>
                <w:bCs w:val="false"/>
                <w:color w:val="000000"/>
                <w:sz w:val="19"/>
                <w:szCs w:val="19"/>
              </w:rPr>
              <w:t xml:space="preserve">88.6%</w:t>
            </w:r>
          </w:p>
        </w:tc>
      </w:tr>
      <w:tr>
        <w:tc>
          <w:tcPr>
            <w:tcW w:type="dxa" w:w="4500"/>
            <w:shd w:fill="F2F2F2" w:val="clear"/>
            <w:tcMar>
              <w:top w:type="dxa" w:w="90"/>
              <w:left w:type="dxa" w:w="120"/>
              <w:bottom w:type="dxa" w:w="90"/>
              <w:right w:type="dxa" w:w="120"/>
            </w:tcMar>
          </w:tcPr>
          <w:p>
            <w:pPr>
              <w:jc w:val="left"/>
            </w:pPr>
            <w:r>
              <w:rPr>
                <w:b w:val="false"/>
                <w:bCs w:val="false"/>
                <w:color w:val="000000"/>
                <w:sz w:val="19"/>
                <w:szCs w:val="19"/>
              </w:rPr>
              <w:t xml:space="preserve">Medium Risk</w:t>
            </w:r>
          </w:p>
        </w:tc>
        <w:tc>
          <w:tcPr>
            <w:tcW w:type="dxa" w:w="4500"/>
            <w:shd w:fill="F2F2F2" w:val="clear"/>
            <w:tcMar>
              <w:top w:type="dxa" w:w="90"/>
              <w:left w:type="dxa" w:w="120"/>
              <w:bottom w:type="dxa" w:w="90"/>
              <w:right w:type="dxa" w:w="120"/>
            </w:tcMar>
          </w:tcPr>
          <w:p>
            <w:pPr>
              <w:jc w:val="center"/>
            </w:pPr>
            <w:r>
              <w:rPr>
                <w:b w:val="false"/>
                <w:bCs w:val="false"/>
                <w:color w:val="000000"/>
                <w:sz w:val="19"/>
                <w:szCs w:val="19"/>
              </w:rPr>
              <w:t xml:space="preserve">44.0%</w:t>
            </w:r>
          </w:p>
        </w:tc>
      </w:tr>
      <w:tr>
        <w:tc>
          <w:tcPr>
            <w:tcW w:type="dxa" w:w="4500"/>
            <w:tcMar>
              <w:top w:type="dxa" w:w="90"/>
              <w:left w:type="dxa" w:w="120"/>
              <w:bottom w:type="dxa" w:w="90"/>
              <w:right w:type="dxa" w:w="120"/>
            </w:tcMar>
          </w:tcPr>
          <w:p>
            <w:pPr>
              <w:jc w:val="left"/>
            </w:pPr>
            <w:r>
              <w:rPr>
                <w:b w:val="false"/>
                <w:bCs w:val="false"/>
                <w:color w:val="000000"/>
                <w:sz w:val="19"/>
                <w:szCs w:val="19"/>
              </w:rPr>
              <w:t xml:space="preserve">Low Risk</w:t>
            </w:r>
          </w:p>
        </w:tc>
        <w:tc>
          <w:tcPr>
            <w:tcW w:type="dxa" w:w="4500"/>
            <w:tcMar>
              <w:top w:type="dxa" w:w="90"/>
              <w:left w:type="dxa" w:w="120"/>
              <w:bottom w:type="dxa" w:w="90"/>
              <w:right w:type="dxa" w:w="120"/>
            </w:tcMar>
          </w:tcPr>
          <w:p>
            <w:pPr>
              <w:jc w:val="center"/>
            </w:pPr>
            <w:r>
              <w:rPr>
                <w:b w:val="false"/>
                <w:bCs w:val="false"/>
                <w:color w:val="000000"/>
                <w:sz w:val="19"/>
                <w:szCs w:val="19"/>
              </w:rPr>
              <w:t xml:space="preserve">38.3%</w:t>
            </w:r>
          </w:p>
        </w:tc>
      </w:tr>
    </w:tbl>
    <w:p>
      <w:pPr>
        <w:spacing w:after="160" w:before="160"/>
      </w:pPr>
      <w:r>
        <w:rPr>
          <w:i/>
          <w:iCs/>
          <w:color w:val="595959"/>
          <w:sz w:val="19"/>
          <w:szCs w:val="19"/>
        </w:rPr>
        <w:t xml:space="preserve">Table 2. Actual observed late-delivery rate by assigned risk category.</w:t>
      </w:r>
    </w:p>
    <w:p>
      <w:pPr>
        <w:spacing w:after="160" w:line="276"/>
      </w:pPr>
      <w:r>
        <w:rPr>
          <w:sz w:val="21"/>
          <w:szCs w:val="21"/>
        </w:rPr>
        <w:t xml:space="preserve">The High Risk tier shows strong separation from the other two (88.6% vs. 38–44%), confirming the model reliably identifies the highest-risk orders. However, the gap between Medium and Low Risk categories is modest, indicating that the fixed 0.33/0.66 thresholds — chosen as a reasonable operational default rather than a data-driven optimum — could be refined in future work, for example by optimizing thresholds against a specific business cost function (cost of a missed intervention vs. cost of an unnecessary one).</w:t>
      </w:r>
    </w:p>
    <w:p>
      <w:pPr>
        <w:pStyle w:val="Heading2"/>
        <w:spacing w:after="120" w:before="220"/>
      </w:pPr>
      <w:r>
        <w:rPr>
          <w:b/>
          <w:bCs/>
          <w:color w:val="1F3864"/>
          <w:sz w:val="22"/>
          <w:szCs w:val="22"/>
        </w:rPr>
        <w:t xml:space="preserve">5.4 Explainability</w:t>
      </w:r>
    </w:p>
    <w:p>
      <w:pPr>
        <w:spacing w:after="160" w:line="276"/>
      </w:pPr>
      <w:r>
        <w:rPr>
          <w:sz w:val="21"/>
          <w:szCs w:val="21"/>
        </w:rPr>
        <w:t xml:space="preserve">SHAP (SHapley Additive exPlanations) was applied to the XGBoost model to decompose individual predictions into per-feature contributions. This enables, for any single order, a plain-language explanation of which specific factors (e.g. shipping mode, order region, regional congestion) increased or decreased its predicted risk, and by how much — addressing a key operational requirement: that flagged orders be explainable to staff, not just labeled by an opaque score.</w:t>
      </w:r>
    </w:p>
    <w:p>
      <w:pPr>
        <w:pStyle w:val="Heading1"/>
        <w:pBdr>
          <w:bottom w:val="single" w:color="1F3864" w:sz="6" w:space="4"/>
        </w:pBdr>
        <w:spacing w:after="160" w:before="320"/>
      </w:pPr>
      <w:r>
        <w:rPr>
          <w:b/>
          <w:bCs/>
          <w:color w:val="1F3864"/>
          <w:sz w:val="26"/>
          <w:szCs w:val="26"/>
        </w:rPr>
        <w:t xml:space="preserve">6. Insights and Recommendations</w:t>
      </w:r>
    </w:p>
    <w:p>
      <w:pPr>
        <w:pStyle w:val="ListParagraph"/>
        <w:numPr>
          <w:ilvl w:val="0"/>
          <w:numId w:val="2"/>
        </w:numPr>
        <w:spacing w:after="90" w:line="270"/>
      </w:pPr>
      <w:r>
        <w:rPr>
          <w:sz w:val="21"/>
          <w:szCs w:val="21"/>
        </w:rPr>
        <w:t xml:space="preserve">Shipping mode is the dominant, actionable lever for reducing late-delivery risk. The finding that expedited shipping modes are associated with substantially higher delay rates (86.5% vs 49.7%) warrants a operational review of carrier commitments and realistic delivery-window setting for those modes.</w:t>
      </w:r>
    </w:p>
    <w:p>
      <w:pPr>
        <w:pStyle w:val="ListParagraph"/>
        <w:numPr>
          <w:ilvl w:val="0"/>
          <w:numId w:val="2"/>
        </w:numPr>
        <w:spacing w:after="90" w:line="270"/>
      </w:pPr>
      <w:r>
        <w:rPr>
          <w:sz w:val="21"/>
          <w:szCs w:val="21"/>
        </w:rPr>
        <w:t xml:space="preserve">The High Risk tier is reliable enough (88.6% actual late rate) to support a daily operational triage process — prioritizing intervention (e.g., expedited warehouse processing, proactive customer communication) for orders in this tier.</w:t>
      </w:r>
    </w:p>
    <w:p>
      <w:pPr>
        <w:pStyle w:val="ListParagraph"/>
        <w:numPr>
          <w:ilvl w:val="0"/>
          <w:numId w:val="2"/>
        </w:numPr>
        <w:spacing w:after="90" w:line="270"/>
      </w:pPr>
      <w:r>
        <w:rPr>
          <w:sz w:val="21"/>
          <w:szCs w:val="21"/>
        </w:rPr>
        <w:t xml:space="preserve">Profitability and delivery risk are largely independent; risk mitigation efforts should not be limited only to low-margin orders, as high-margin orders are equally exposed.</w:t>
      </w:r>
    </w:p>
    <w:p>
      <w:pPr>
        <w:pStyle w:val="ListParagraph"/>
        <w:numPr>
          <w:ilvl w:val="0"/>
          <w:numId w:val="2"/>
        </w:numPr>
        <w:spacing w:after="90" w:line="270"/>
      </w:pPr>
      <w:r>
        <w:rPr>
          <w:sz w:val="21"/>
          <w:szCs w:val="21"/>
        </w:rPr>
        <w:t xml:space="preserve">Regional congestion contributes secondary but non-trivial predictive value (Random Forest), suggesting regional capacity planning is a worthwhile complementary intervention alongside shipping-mode policy changes.</w:t>
      </w:r>
    </w:p>
    <w:p>
      <w:pPr>
        <w:pStyle w:val="Heading1"/>
        <w:pBdr>
          <w:bottom w:val="single" w:color="1F3864" w:sz="6" w:space="4"/>
        </w:pBdr>
        <w:spacing w:after="160" w:before="320"/>
      </w:pPr>
      <w:r>
        <w:rPr>
          <w:b/>
          <w:bCs/>
          <w:color w:val="1F3864"/>
          <w:sz w:val="26"/>
          <w:szCs w:val="26"/>
        </w:rPr>
        <w:t xml:space="preserve">7. Limitations and Future Work</w:t>
      </w:r>
    </w:p>
    <w:p>
      <w:pPr>
        <w:pStyle w:val="ListParagraph"/>
        <w:numPr>
          <w:ilvl w:val="0"/>
          <w:numId w:val="2"/>
        </w:numPr>
        <w:spacing w:after="90" w:line="270"/>
      </w:pPr>
      <w:r>
        <w:rPr>
          <w:sz w:val="21"/>
          <w:szCs w:val="21"/>
        </w:rPr>
        <w:t xml:space="preserve">Model performance (ROC-AUC ≈ 0.75) indicates moderate, not exceptional, discriminative power; there is a meaningful share of orders whose risk the current feature set cannot resolve, likely requiring carrier-level or warehouse-level operational data not present in this dataset.</w:t>
      </w:r>
    </w:p>
    <w:p>
      <w:pPr>
        <w:pStyle w:val="ListParagraph"/>
        <w:numPr>
          <w:ilvl w:val="0"/>
          <w:numId w:val="2"/>
        </w:numPr>
        <w:spacing w:after="90" w:line="270"/>
      </w:pPr>
      <w:r>
        <w:rPr>
          <w:sz w:val="21"/>
          <w:szCs w:val="21"/>
        </w:rPr>
        <w:t xml:space="preserve">Risk category thresholds (0.33/0.66) are fixed defaults rather than optimized against a specific business cost trade-off; future iterations should tune thresholds using an explicit cost-of-error framework.</w:t>
      </w:r>
    </w:p>
    <w:p>
      <w:pPr>
        <w:pStyle w:val="ListParagraph"/>
        <w:numPr>
          <w:ilvl w:val="0"/>
          <w:numId w:val="2"/>
        </w:numPr>
        <w:spacing w:after="90" w:line="270"/>
      </w:pPr>
      <w:r>
        <w:rPr>
          <w:sz w:val="21"/>
          <w:szCs w:val="21"/>
        </w:rPr>
        <w:t xml:space="preserve">The dataset lacks an order-level identifier linking multiple line items into a single order, limiting some engineered features (e.g. Order Complexity Score) to line-item-level rather than true order-level granularity.</w:t>
      </w:r>
    </w:p>
    <w:p>
      <w:pPr>
        <w:pStyle w:val="ListParagraph"/>
        <w:numPr>
          <w:ilvl w:val="0"/>
          <w:numId w:val="2"/>
        </w:numPr>
        <w:spacing w:after="90" w:line="270"/>
      </w:pPr>
      <w:r>
        <w:rPr>
          <w:sz w:val="21"/>
          <w:szCs w:val="21"/>
        </w:rPr>
        <w:t xml:space="preserve">Future work could incorporate carrier-specific performance history, weather/seasonality data, and warehouse throughput metrics to improve discriminative power beyond the current 0.75 ROC-AUC ceiling.</w:t>
      </w:r>
    </w:p>
    <w:p>
      <w:pPr>
        <w:pStyle w:val="Heading1"/>
        <w:pBdr>
          <w:bottom w:val="single" w:color="1F3864" w:sz="6" w:space="4"/>
        </w:pBdr>
        <w:spacing w:after="160" w:before="320"/>
      </w:pPr>
      <w:r>
        <w:rPr>
          <w:b/>
          <w:bCs/>
          <w:color w:val="1F3864"/>
          <w:sz w:val="26"/>
          <w:szCs w:val="26"/>
        </w:rPr>
        <w:t xml:space="preserve">8. Conclusion</w:t>
      </w:r>
    </w:p>
    <w:p>
      <w:pPr>
        <w:spacing w:after="160" w:line="276"/>
      </w:pPr>
      <w:r>
        <w:rPr>
          <w:sz w:val="21"/>
          <w:szCs w:val="21"/>
        </w:rPr>
        <w:t xml:space="preserve">This study demonstrates that a moderately predictive, fully explainable late-delivery risk model can be built from standard order-level data, without requiring new data infrastructure. After correcting an initial data leakage issue that produced artificially perfect results, the corrected XGBoost model achieves a realistic ROC-AUC of 0.750 and identifies shipping mode as the primary driver of delivery risk — an actionable, non-obvious finding with direct operational implications. Combined with SHAP-based per-order explanations and an interactive dashboard for daily use, this system provides a practical foundation for shifting delivery risk management from reactive to proactive.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2026-07-03T22:09:39.251Z</dcterms:created>
  <dcterms:modified xsi:type="dcterms:W3CDTF">2026-07-03T22:09:39.251Z</dcterms:modified>
</cp:coreProperties>
</file>

<file path=docProps/custom.xml><?xml version="1.0" encoding="utf-8"?>
<Properties xmlns="http://schemas.openxmlformats.org/officeDocument/2006/custom-properties" xmlns:vt="http://schemas.openxmlformats.org/officeDocument/2006/docPropsVTypes"/>
</file>