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Credit Memo</w:t>
      </w:r>
    </w:p>
    <w:p>
      <w:pPr>
        <w:pStyle w:val="Heading1"/>
      </w:pPr>
      <w:r>
        <w:t>Patel Agro Pvt Ltd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C9D3DF"/>
          <w:left w:val="single" w:sz="4" w:color="C9D3DF"/>
          <w:bottom w:val="single" w:sz="4" w:color="C9D3DF"/>
          <w:right w:val="single" w:sz="4" w:color="C9D3DF"/>
          <w:insideH w:val="single" w:sz="4" w:color="C9D3DF"/>
          <w:insideV w:val="single" w:sz="4" w:color="C9D3DF"/>
        </w:tblBorders>
      </w:tblPr>
      <w:tblGrid>
        <w:gridCol w:w="4873"/>
        <w:gridCol w:w="4873"/>
      </w:tblGrid>
      <w:tr>
        <w:tc>
          <w:tcPr>
            <w:tcW w:type="dxa" w:w="2835"/>
            <w:shd w:val="clear" w:fill="1F3A5F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6236"/>
            <w:shd w:val="clear" w:fill="1F3A5F"/>
          </w:tcPr>
          <w:p>
            <w:r>
              <w:rPr>
                <w:b/>
                <w:color w:val="FFFFFF"/>
              </w:rPr>
              <w:t>Detail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Facility</w:t>
            </w:r>
          </w:p>
        </w:tc>
        <w:tc>
          <w:tcPr>
            <w:tcW w:type="dxa" w:w="6236"/>
          </w:tcPr>
          <w:p>
            <w:r>
              <w:t>₹5 Cr term loan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Industry / location</w:t>
            </w:r>
          </w:p>
        </w:tc>
        <w:tc>
          <w:tcPr>
            <w:tcW w:type="dxa" w:w="6236"/>
          </w:tcPr>
          <w:p>
            <w:r>
              <w:t>Food processing (spices and pulses), Nashik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Date</w:t>
            </w:r>
          </w:p>
        </w:tc>
        <w:tc>
          <w:tcPr>
            <w:tcW w:type="dxa" w:w="6236"/>
          </w:tcPr>
          <w:p>
            <w:r>
              <w:t>22 Oct 2026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Data basis</w:t>
            </w:r>
          </w:p>
        </w:tc>
        <w:tc>
          <w:tcPr>
            <w:tcW w:type="dxa" w:w="6236"/>
          </w:tcPr>
          <w:p>
            <w:r>
              <w:t>FY25 provisional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6236"/>
          </w:tcPr>
          <w:p>
            <w:r>
              <w:t>Credit memo agent (AI draft)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236"/>
          </w:tcPr>
          <w:p>
            <w:r>
              <w:t>DRAFT for credit officer review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DECEA"/>
          </w:tcPr>
          <w:p>
            <w:r>
              <w:rPr>
                <w:b/>
                <w:color w:val="666666"/>
                <w:sz w:val="16"/>
              </w:rPr>
              <w:t>RECOMMENDATION</w:t>
              <w:br/>
            </w:r>
            <w:r>
              <w:rPr>
                <w:b/>
                <w:color w:val="B01E1E"/>
                <w:sz w:val="28"/>
              </w:rPr>
              <w:t>REFER TO COMMITTEE WITH CONDITIONS</w:t>
            </w:r>
            <w:r>
              <w:rPr>
                <w:color w:val="666666"/>
                <w:sz w:val="18"/>
              </w:rPr>
              <w:br/>
              <w:t>4 of 6 policy rules pass · fails: DSCR, GST vs bank credits gap</w:t>
            </w:r>
          </w:p>
        </w:tc>
      </w:tr>
    </w:tbl>
    <w:p/>
    <w:p>
      <w:pPr>
        <w:pStyle w:val="Heading2"/>
      </w:pPr>
      <w:r>
        <w:t>Assumptions, flags and open questions</w:t>
      </w:r>
    </w:p>
    <w:p>
      <w:pPr>
        <w:pStyle w:val="ListBullet"/>
      </w:pPr>
      <w:r>
        <w:rPr>
          <w:b/>
        </w:rPr>
        <w:t xml:space="preserve">Assumption: </w:t>
      </w:r>
      <w:r>
        <w:t>FY25 audited financials are not available; use FY25 provisional figures for analysis.</w:t>
      </w:r>
    </w:p>
    <w:p>
      <w:pPr>
        <w:pStyle w:val="ListBullet"/>
      </w:pPr>
      <w:r>
        <w:rPr>
          <w:b/>
        </w:rPr>
        <w:t xml:space="preserve">Assumption: </w:t>
      </w:r>
      <w:r>
        <w:t>GST turnover discrepancy with bank statements will be highlighted in the risk assessment.</w:t>
      </w:r>
    </w:p>
    <w:p>
      <w:pPr>
        <w:pStyle w:val="ListBullet"/>
      </w:pPr>
      <w:r>
        <w:rPr>
          <w:b/>
        </w:rPr>
        <w:t xml:space="preserve">Flag: </w:t>
      </w:r>
      <w:r>
        <w:t>FY25 audited financials not available; provisional figures used</w:t>
      </w:r>
    </w:p>
    <w:p>
      <w:pPr>
        <w:pStyle w:val="ListBullet"/>
      </w:pPr>
      <w:r>
        <w:rPr>
          <w:b/>
        </w:rPr>
        <w:t xml:space="preserve">Flag: </w:t>
      </w:r>
      <w:r>
        <w:t>2 bounced cheques in the last 12 months</w:t>
      </w:r>
    </w:p>
    <w:p>
      <w:pPr>
        <w:pStyle w:val="ListBullet"/>
      </w:pPr>
      <w:r>
        <w:rPr>
          <w:b/>
        </w:rPr>
        <w:t xml:space="preserve">Flag: </w:t>
      </w:r>
      <w:r>
        <w:t>DSCR 1.08 breaches policy (&gt;= 1.25)</w:t>
      </w:r>
    </w:p>
    <w:p>
      <w:pPr>
        <w:pStyle w:val="ListBullet"/>
      </w:pPr>
      <w:r>
        <w:rPr>
          <w:b/>
        </w:rPr>
        <w:t xml:space="preserve">Flag: </w:t>
      </w:r>
      <w:r>
        <w:t>GST vs bank credits gap 18.1% breaches policy (&lt;= 10%)</w:t>
      </w:r>
    </w:p>
    <w:p>
      <w:pPr>
        <w:pStyle w:val="ListBullet"/>
      </w:pPr>
      <w:r>
        <w:rPr>
          <w:b/>
        </w:rPr>
        <w:t xml:space="preserve">Open question: </w:t>
      </w:r>
      <w:r>
        <w:t>When will FY25 audited financials be submitted?</w:t>
      </w:r>
    </w:p>
    <w:p>
      <w:pPr>
        <w:pStyle w:val="ListBullet"/>
      </w:pPr>
      <w:r>
        <w:rPr>
          <w:b/>
        </w:rPr>
        <w:t xml:space="preserve">Open question: </w:t>
      </w:r>
      <w:r>
        <w:t>What explains the 18.1% gap between GST turnover and bank credits?</w:t>
      </w:r>
    </w:p>
    <w:p>
      <w:pPr>
        <w:pStyle w:val="Heading2"/>
      </w:pPr>
      <w:r>
        <w:t>1. Borrower Overview</w:t>
      </w:r>
    </w:p>
    <w:p>
      <w:pPr>
        <w:spacing w:after="120"/>
      </w:pPr>
      <w:r>
        <w:rPr>
          <w:b w:val="0"/>
        </w:rPr>
        <w:t>Patel Agro Pvt Ltd is a 9‑year‑old food‑processing company specializing in spices and pulses, headquartered in Nashik. The business is promoted by Ramesh Patel and Kavita Patel.</w:t>
      </w:r>
    </w:p>
    <w:p>
      <w:pPr>
        <w:spacing w:after="120"/>
      </w:pPr>
      <w:r>
        <w:rPr>
          <w:b w:val="0"/>
        </w:rPr>
        <w:t xml:space="preserve">The borrower seeks a </w:t>
      </w:r>
      <w:r>
        <w:rPr>
          <w:b/>
        </w:rPr>
        <w:t>₹5.0 Cr term loan</w:t>
      </w:r>
      <w:r>
        <w:rPr>
          <w:b w:val="0"/>
        </w:rPr>
        <w:t xml:space="preserve"> to support its ongoing operations and growth initiatives. Its current banking relationship is with Saraswat Co‑operative Bank.</w:t>
      </w:r>
    </w:p>
    <w:p>
      <w:pPr>
        <w:pStyle w:val="Heading2"/>
      </w:pPr>
      <w:r>
        <w:t>2. Financial Analysis</w:t>
      </w:r>
    </w:p>
    <w:p>
      <w:pPr>
        <w:spacing w:after="120"/>
      </w:pPr>
      <w:r>
        <w:rPr>
          <w:b w:val="0"/>
        </w:rPr>
        <w:t xml:space="preserve">Revenue increased from </w:t>
      </w:r>
      <w:r>
        <w:rPr>
          <w:b/>
        </w:rPr>
        <w:t>₹14.6 Cr</w:t>
      </w:r>
      <w:r>
        <w:rPr>
          <w:b w:val="0"/>
        </w:rPr>
        <w:t xml:space="preserve"> in FY24 to </w:t>
      </w:r>
      <w:r>
        <w:rPr>
          <w:b/>
        </w:rPr>
        <w:t>₹15.4 Cr</w:t>
      </w:r>
      <w:r>
        <w:rPr>
          <w:b w:val="0"/>
        </w:rPr>
        <w:t xml:space="preserve"> in FY25, reflecting modest growth. PAT rose from </w:t>
      </w:r>
      <w:r>
        <w:rPr>
          <w:b/>
        </w:rPr>
        <w:t>₹1.08 Cr</w:t>
      </w:r>
      <w:r>
        <w:rPr>
          <w:b w:val="0"/>
        </w:rPr>
        <w:t xml:space="preserve"> to </w:t>
      </w:r>
      <w:r>
        <w:rPr>
          <w:b/>
        </w:rPr>
        <w:t>₹1.2 Cr</w:t>
      </w:r>
      <w:r>
        <w:rPr>
          <w:b w:val="0"/>
        </w:rPr>
        <w:t>, while depreciation and interest expenses showed proportional increases (depreciation ₹0.56 Cr → ₹0.6 Cr; interest ₹0.64 Cr → ₹0.68 Cr).</w:t>
      </w:r>
    </w:p>
    <w:p>
      <w:pPr>
        <w:spacing w:after="120"/>
      </w:pPr>
      <w:r>
        <w:rPr>
          <w:b w:val="0"/>
        </w:rPr>
        <w:t xml:space="preserve">Key ratios for FY25 are: DSCR 1.08 (below the required ≥ 1.25), loan‑to‑value 58.1% (within the ≤ 70% limit), debt‑to‑equity 1.9 (under the ≤ 2.0 ceiling), current ratio 1.3 (above the ≥ 1.2 threshold), and GST‑vs‑bank‑credits gap 18.1% (exceeds the ≤ 10% limit). The proposed loan amount of </w:t>
      </w:r>
      <w:r>
        <w:rPr>
          <w:b/>
        </w:rPr>
        <w:t>₹5.0 Cr</w:t>
      </w:r>
      <w:r>
        <w:rPr>
          <w:b w:val="0"/>
        </w:rPr>
        <w:t xml:space="preserve"> complies with the ≤ ₹10 Cr policy.</w:t>
      </w:r>
    </w:p>
    <w:p>
      <w:pPr>
        <w:pStyle w:val="ListBullet"/>
      </w:pPr>
      <w:r>
        <w:rPr>
          <w:b w:val="0"/>
        </w:rPr>
        <w:t>DSCR shortfall indicates limited capacity to cover debt service.</w:t>
      </w:r>
    </w:p>
    <w:p>
      <w:pPr>
        <w:pStyle w:val="ListBullet"/>
      </w:pPr>
      <w:r>
        <w:rPr>
          <w:b w:val="0"/>
        </w:rPr>
        <w:t>Elevated GST‑vs‑bank‑credits gap suggests potential compliance or cash‑flow concerns.</w:t>
      </w:r>
    </w:p>
    <w:p>
      <w:pPr>
        <w:pStyle w:val="ListBullet"/>
      </w:pPr>
      <w:r>
        <w:rPr>
          <w:b w:val="0"/>
        </w:rPr>
        <w:t>All other ratio thresholds are satisfied.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C9D3DF"/>
          <w:left w:val="single" w:sz="4" w:color="C9D3DF"/>
          <w:bottom w:val="single" w:sz="4" w:color="C9D3DF"/>
          <w:right w:val="single" w:sz="4" w:color="C9D3DF"/>
          <w:insideH w:val="single" w:sz="4" w:color="C9D3DF"/>
          <w:insideV w:val="single" w:sz="4" w:color="C9D3DF"/>
        </w:tblBorders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fill="1F3A5F"/>
          </w:tcPr>
          <w:p>
            <w:r>
              <w:rPr>
                <w:b/>
                <w:color w:val="FFFFFF"/>
              </w:rPr>
              <w:t>Year</w:t>
            </w:r>
          </w:p>
        </w:tc>
        <w:tc>
          <w:tcPr>
            <w:tcW w:type="dxa" w:w="1624"/>
            <w:shd w:val="clear" w:fill="1F3A5F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624"/>
            <w:shd w:val="clear" w:fill="1F3A5F"/>
          </w:tcPr>
          <w:p>
            <w:r>
              <w:rPr>
                <w:b/>
                <w:color w:val="FFFFFF"/>
              </w:rPr>
              <w:t>Revenue</w:t>
            </w:r>
          </w:p>
        </w:tc>
        <w:tc>
          <w:tcPr>
            <w:tcW w:type="dxa" w:w="1624"/>
            <w:shd w:val="clear" w:fill="1F3A5F"/>
          </w:tcPr>
          <w:p>
            <w:r>
              <w:rPr>
                <w:b/>
                <w:color w:val="FFFFFF"/>
              </w:rPr>
              <w:t>PAT</w:t>
            </w:r>
          </w:p>
        </w:tc>
        <w:tc>
          <w:tcPr>
            <w:tcW w:type="dxa" w:w="1624"/>
            <w:shd w:val="clear" w:fill="1F3A5F"/>
          </w:tcPr>
          <w:p>
            <w:r>
              <w:rPr>
                <w:b/>
                <w:color w:val="FFFFFF"/>
              </w:rPr>
              <w:t>Depreciation</w:t>
            </w:r>
          </w:p>
        </w:tc>
        <w:tc>
          <w:tcPr>
            <w:tcW w:type="dxa" w:w="1624"/>
            <w:shd w:val="clear" w:fill="1F3A5F"/>
          </w:tcPr>
          <w:p>
            <w:r>
              <w:rPr>
                <w:b/>
                <w:color w:val="FFFFFF"/>
              </w:rPr>
              <w:t>Interest</w:t>
            </w:r>
          </w:p>
        </w:tc>
      </w:tr>
      <w:tr>
        <w:tc>
          <w:tcPr>
            <w:tcW w:type="dxa" w:w="1624"/>
          </w:tcPr>
          <w:p>
            <w:r>
              <w:rPr>
                <w:b/>
              </w:rPr>
              <w:t>FY24</w:t>
            </w:r>
          </w:p>
        </w:tc>
        <w:tc>
          <w:tcPr>
            <w:tcW w:type="dxa" w:w="1624"/>
          </w:tcPr>
          <w:p>
            <w:r>
              <w:t>audited</w:t>
            </w:r>
          </w:p>
        </w:tc>
        <w:tc>
          <w:tcPr>
            <w:tcW w:type="dxa" w:w="1624"/>
          </w:tcPr>
          <w:p>
            <w:r>
              <w:t>14.60</w:t>
            </w:r>
          </w:p>
        </w:tc>
        <w:tc>
          <w:tcPr>
            <w:tcW w:type="dxa" w:w="1624"/>
          </w:tcPr>
          <w:p>
            <w:r>
              <w:t>1.08</w:t>
            </w:r>
          </w:p>
        </w:tc>
        <w:tc>
          <w:tcPr>
            <w:tcW w:type="dxa" w:w="1624"/>
          </w:tcPr>
          <w:p>
            <w:r>
              <w:t>0.56</w:t>
            </w:r>
          </w:p>
        </w:tc>
        <w:tc>
          <w:tcPr>
            <w:tcW w:type="dxa" w:w="1624"/>
          </w:tcPr>
          <w:p>
            <w:r>
              <w:t>0.64</w:t>
            </w:r>
          </w:p>
        </w:tc>
      </w:tr>
      <w:tr>
        <w:tc>
          <w:tcPr>
            <w:tcW w:type="dxa" w:w="1624"/>
          </w:tcPr>
          <w:p>
            <w:r>
              <w:rPr>
                <w:b/>
              </w:rPr>
              <w:t>FY25</w:t>
            </w:r>
          </w:p>
        </w:tc>
        <w:tc>
          <w:tcPr>
            <w:tcW w:type="dxa" w:w="1624"/>
          </w:tcPr>
          <w:p>
            <w:r>
              <w:t>provisional</w:t>
            </w:r>
          </w:p>
        </w:tc>
        <w:tc>
          <w:tcPr>
            <w:tcW w:type="dxa" w:w="1624"/>
          </w:tcPr>
          <w:p>
            <w:r>
              <w:t>15.40</w:t>
            </w:r>
          </w:p>
        </w:tc>
        <w:tc>
          <w:tcPr>
            <w:tcW w:type="dxa" w:w="1624"/>
          </w:tcPr>
          <w:p>
            <w:r>
              <w:t>1.20</w:t>
            </w:r>
          </w:p>
        </w:tc>
        <w:tc>
          <w:tcPr>
            <w:tcW w:type="dxa" w:w="1624"/>
          </w:tcPr>
          <w:p>
            <w:r>
              <w:t>0.60</w:t>
            </w:r>
          </w:p>
        </w:tc>
        <w:tc>
          <w:tcPr>
            <w:tcW w:type="dxa" w:w="1624"/>
          </w:tcPr>
          <w:p>
            <w:r>
              <w:t>0.68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C9D3DF"/>
          <w:left w:val="single" w:sz="4" w:color="C9D3DF"/>
          <w:bottom w:val="single" w:sz="4" w:color="C9D3DF"/>
          <w:right w:val="single" w:sz="4" w:color="C9D3DF"/>
          <w:insideH w:val="single" w:sz="4" w:color="C9D3DF"/>
          <w:insideV w:val="single" w:sz="4" w:color="C9D3DF"/>
        </w:tblBorders>
      </w:tblPr>
      <w:tblGrid>
        <w:gridCol w:w="4873"/>
        <w:gridCol w:w="4873"/>
      </w:tblGrid>
      <w:tr>
        <w:tc>
          <w:tcPr>
            <w:tcW w:type="dxa" w:w="5102"/>
            <w:shd w:val="clear" w:fill="1F3A5F"/>
          </w:tcPr>
          <w:p>
            <w:r>
              <w:rPr>
                <w:b/>
                <w:color w:val="FFFFFF"/>
              </w:rPr>
              <w:t>Ratio</w:t>
            </w:r>
          </w:p>
        </w:tc>
        <w:tc>
          <w:tcPr>
            <w:tcW w:type="dxa" w:w="3969"/>
            <w:shd w:val="clear" w:fill="1F3A5F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5102"/>
          </w:tcPr>
          <w:p>
            <w:r>
              <w:rPr>
                <w:b/>
              </w:rPr>
              <w:t>DSCR</w:t>
            </w:r>
          </w:p>
        </w:tc>
        <w:tc>
          <w:tcPr>
            <w:tcW w:type="dxa" w:w="3969"/>
          </w:tcPr>
          <w:p>
            <w:r>
              <w:t>1.08</w:t>
            </w:r>
          </w:p>
        </w:tc>
      </w:tr>
      <w:tr>
        <w:tc>
          <w:tcPr>
            <w:tcW w:type="dxa" w:w="5102"/>
          </w:tcPr>
          <w:p>
            <w:r>
              <w:rPr>
                <w:b/>
              </w:rPr>
              <w:t>Loan-to-value</w:t>
            </w:r>
          </w:p>
        </w:tc>
        <w:tc>
          <w:tcPr>
            <w:tcW w:type="dxa" w:w="3969"/>
          </w:tcPr>
          <w:p>
            <w:r>
              <w:t>58.1%</w:t>
            </w:r>
          </w:p>
        </w:tc>
      </w:tr>
      <w:tr>
        <w:tc>
          <w:tcPr>
            <w:tcW w:type="dxa" w:w="5102"/>
          </w:tcPr>
          <w:p>
            <w:r>
              <w:rPr>
                <w:b/>
              </w:rPr>
              <w:t>Debt / equity</w:t>
            </w:r>
          </w:p>
        </w:tc>
        <w:tc>
          <w:tcPr>
            <w:tcW w:type="dxa" w:w="3969"/>
          </w:tcPr>
          <w:p>
            <w:r>
              <w:t>1.90</w:t>
            </w:r>
          </w:p>
        </w:tc>
      </w:tr>
      <w:tr>
        <w:tc>
          <w:tcPr>
            <w:tcW w:type="dxa" w:w="5102"/>
          </w:tcPr>
          <w:p>
            <w:r>
              <w:rPr>
                <w:b/>
              </w:rPr>
              <w:t>Current ratio</w:t>
            </w:r>
          </w:p>
        </w:tc>
        <w:tc>
          <w:tcPr>
            <w:tcW w:type="dxa" w:w="3969"/>
          </w:tcPr>
          <w:p>
            <w:r>
              <w:t>1.30</w:t>
            </w:r>
          </w:p>
        </w:tc>
      </w:tr>
      <w:tr>
        <w:tc>
          <w:tcPr>
            <w:tcW w:type="dxa" w:w="5102"/>
          </w:tcPr>
          <w:p>
            <w:r>
              <w:rPr>
                <w:b/>
              </w:rPr>
              <w:t>GST turnover vs bank credits gap</w:t>
            </w:r>
          </w:p>
        </w:tc>
        <w:tc>
          <w:tcPr>
            <w:tcW w:type="dxa" w:w="3969"/>
          </w:tcPr>
          <w:p>
            <w:r>
              <w:t>18.1%</w:t>
            </w:r>
          </w:p>
        </w:tc>
      </w:tr>
      <w:tr>
        <w:tc>
          <w:tcPr>
            <w:tcW w:type="dxa" w:w="5102"/>
          </w:tcPr>
          <w:p>
            <w:r>
              <w:rPr>
                <w:b/>
              </w:rPr>
              <w:t>Annual cash accrual (₹ Cr)</w:t>
            </w:r>
          </w:p>
        </w:tc>
        <w:tc>
          <w:tcPr>
            <w:tcW w:type="dxa" w:w="3969"/>
          </w:tcPr>
          <w:p>
            <w:r>
              <w:t>2.48</w:t>
            </w:r>
          </w:p>
        </w:tc>
      </w:tr>
      <w:tr>
        <w:tc>
          <w:tcPr>
            <w:tcW w:type="dxa" w:w="5102"/>
          </w:tcPr>
          <w:p>
            <w:r>
              <w:rPr>
                <w:b/>
              </w:rPr>
              <w:t>Annual debt service incl. new loan (₹ Cr)</w:t>
            </w:r>
          </w:p>
        </w:tc>
        <w:tc>
          <w:tcPr>
            <w:tcW w:type="dxa" w:w="3969"/>
          </w:tcPr>
          <w:p>
            <w:r>
              <w:t>2.30</w:t>
            </w:r>
          </w:p>
        </w:tc>
      </w:tr>
    </w:tbl>
    <w:p/>
    <w:p>
      <w:r>
        <w:rPr>
          <w:i/>
          <w:color w:val="666666"/>
          <w:sz w:val="18"/>
        </w:rPr>
        <w:t>All amounts in ₹ crore. Ratios are computed in code, not by the language model.</w:t>
      </w:r>
    </w:p>
    <w:p>
      <w:pPr>
        <w:pStyle w:val="Heading2"/>
      </w:pPr>
      <w:r>
        <w:t>3. Risk Assessment</w:t>
      </w:r>
    </w:p>
    <w:p>
      <w:pPr>
        <w:spacing w:after="120"/>
      </w:pPr>
      <w:r>
        <w:rPr>
          <w:b w:val="0"/>
        </w:rPr>
        <w:t xml:space="preserve">The borrower’s </w:t>
      </w:r>
      <w:r>
        <w:rPr>
          <w:b/>
        </w:rPr>
        <w:t>DSCR of 1.08</w:t>
      </w:r>
      <w:r>
        <w:rPr>
          <w:b w:val="0"/>
        </w:rPr>
        <w:t xml:space="preserve"> falls short of the required ≥ 1.25, indicating limited capacity to meet debt service after accounting for the proposed loan.</w:t>
      </w:r>
    </w:p>
    <w:p>
      <w:pPr>
        <w:spacing w:after="120"/>
      </w:pPr>
      <w:r>
        <w:rPr>
          <w:b w:val="0"/>
        </w:rPr>
        <w:t xml:space="preserve">The loan‑to‑value ratio of </w:t>
      </w:r>
      <w:r>
        <w:rPr>
          <w:b/>
        </w:rPr>
        <w:t>58.1%</w:t>
      </w:r>
      <w:r>
        <w:rPr>
          <w:b w:val="0"/>
        </w:rPr>
        <w:t xml:space="preserve"> and debt‑to‑equity of 1.9 are within policy limits, and the current ratio of 1.3 meets the ≥ 1.2 threshold, suggesting adequate short‑term liquidity.</w:t>
      </w:r>
    </w:p>
    <w:p>
      <w:pPr>
        <w:spacing w:after="120"/>
      </w:pPr>
      <w:r>
        <w:rPr>
          <w:b w:val="0"/>
        </w:rPr>
        <w:t xml:space="preserve">However, the </w:t>
      </w:r>
      <w:r>
        <w:rPr>
          <w:b/>
        </w:rPr>
        <w:t>GST vs bank credits gap of 18.1%</w:t>
      </w:r>
      <w:r>
        <w:rPr>
          <w:b w:val="0"/>
        </w:rPr>
        <w:t xml:space="preserve"> exceeds the ≤ 10% ceiling, reflecting a mismatch between tax filings and bank credit utilization. GST turnover for the last 12 months is ₹18.2 Cr, with 11 of 12 filings submitted on time.</w:t>
      </w:r>
    </w:p>
    <w:p>
      <w:pPr>
        <w:spacing w:after="120"/>
      </w:pPr>
      <w:r>
        <w:rPr>
          <w:b w:val="0"/>
        </w:rPr>
        <w:t>Banking history shows credits of ₹14.9 Cr over 12 months, an average balance of ₹0.42 Cr, and two bounced cheques in the period.</w:t>
      </w:r>
    </w:p>
    <w:p>
      <w:pPr>
        <w:pStyle w:val="ListBullet"/>
      </w:pPr>
      <w:r>
        <w:rPr>
          <w:b w:val="0"/>
        </w:rPr>
        <w:t>FY25 audited financials unavailable; provisional figures used</w:t>
      </w:r>
    </w:p>
    <w:p>
      <w:pPr>
        <w:pStyle w:val="ListBullet"/>
      </w:pPr>
      <w:r>
        <w:rPr>
          <w:b w:val="0"/>
        </w:rPr>
        <w:t>DSCR breach and GST gap breach are primary risk drivers</w:t>
      </w:r>
    </w:p>
    <w:p>
      <w:pPr>
        <w:pStyle w:val="ListBullet"/>
      </w:pPr>
      <w:r>
        <w:rPr>
          <w:b w:val="0"/>
        </w:rPr>
        <w:t>Limited credit history and cheque defaults add operational risk.</w:t>
      </w:r>
    </w:p>
    <w:p>
      <w:pPr>
        <w:pStyle w:val="Heading2"/>
      </w:pPr>
      <w:r>
        <w:t>4. Policy Compliance</w:t>
      </w:r>
    </w:p>
    <w:p>
      <w:pPr>
        <w:spacing w:after="120"/>
      </w:pPr>
      <w:r>
        <w:rPr>
          <w:b w:val="0"/>
        </w:rPr>
        <w:t xml:space="preserve">The loan complies with the </w:t>
      </w:r>
      <w:r>
        <w:rPr>
          <w:b/>
        </w:rPr>
        <w:t>Loan‑to‑value (58.1%)</w:t>
      </w:r>
      <w:r>
        <w:rPr>
          <w:b w:val="0"/>
        </w:rPr>
        <w:t xml:space="preserve">, </w:t>
      </w:r>
      <w:r>
        <w:rPr>
          <w:b/>
        </w:rPr>
        <w:t>Debt/Equity (1.9)</w:t>
      </w:r>
      <w:r>
        <w:rPr>
          <w:b w:val="0"/>
        </w:rPr>
        <w:t xml:space="preserve">, </w:t>
      </w:r>
      <w:r>
        <w:rPr>
          <w:b/>
        </w:rPr>
        <w:t>Current ratio (1.3)</w:t>
      </w:r>
      <w:r>
        <w:rPr>
          <w:b w:val="0"/>
        </w:rPr>
        <w:t xml:space="preserve"> and </w:t>
      </w:r>
      <w:r>
        <w:rPr>
          <w:b/>
        </w:rPr>
        <w:t>Loan amount (₹5.0 Cr)</w:t>
      </w:r>
      <w:r>
        <w:rPr>
          <w:b w:val="0"/>
        </w:rPr>
        <w:t xml:space="preserve"> requirements, each meeting or exceeding the stipulated thresholds.</w:t>
      </w:r>
    </w:p>
    <w:p>
      <w:pPr>
        <w:spacing w:after="120"/>
      </w:pPr>
      <w:r>
        <w:rPr>
          <w:b w:val="0"/>
        </w:rPr>
        <w:t xml:space="preserve">However, the </w:t>
      </w:r>
      <w:r>
        <w:rPr>
          <w:b/>
        </w:rPr>
        <w:t>DSCR (1.08)</w:t>
      </w:r>
      <w:r>
        <w:rPr>
          <w:b w:val="0"/>
        </w:rPr>
        <w:t xml:space="preserve"> falls short of the required ≥ 1.25, and the </w:t>
      </w:r>
      <w:r>
        <w:rPr>
          <w:b/>
        </w:rPr>
        <w:t>GST vs bank credits gap (18.1%)</w:t>
      </w:r>
      <w:r>
        <w:rPr>
          <w:b w:val="0"/>
        </w:rPr>
        <w:t xml:space="preserve"> exceeds the allowable ≤ 10%, resulting in failures for these two controls.</w:t>
      </w:r>
    </w:p>
    <w:p>
      <w:pPr>
        <w:pStyle w:val="ListBullet"/>
      </w:pPr>
      <w:r>
        <w:rPr>
          <w:b w:val="0"/>
        </w:rPr>
        <w:t>DSCR below policy minimum may limit cash‑flow coverage.</w:t>
      </w:r>
    </w:p>
    <w:p>
      <w:pPr>
        <w:pStyle w:val="ListBullet"/>
      </w:pPr>
      <w:r>
        <w:rPr>
          <w:b w:val="0"/>
        </w:rPr>
        <w:t>Elevated GST‑credit gap indicates potential compliance or reporting risk.</w:t>
      </w:r>
    </w:p>
    <w:p>
      <w:pPr>
        <w:spacing w:after="120"/>
      </w:pPr>
      <w:r>
        <w:rPr>
          <w:b w:val="0"/>
        </w:rPr>
        <w:t>All other policy checks are satisfied.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C9D3DF"/>
          <w:left w:val="single" w:sz="4" w:color="C9D3DF"/>
          <w:bottom w:val="single" w:sz="4" w:color="C9D3DF"/>
          <w:right w:val="single" w:sz="4" w:color="C9D3DF"/>
          <w:insideH w:val="single" w:sz="4" w:color="C9D3DF"/>
          <w:insideV w:val="single" w:sz="4" w:color="C9D3D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3A5F"/>
          </w:tcPr>
          <w:p>
            <w:r>
              <w:rPr>
                <w:b/>
                <w:color w:val="FFFFFF"/>
              </w:rPr>
              <w:t>Rule</w:t>
            </w:r>
          </w:p>
        </w:tc>
        <w:tc>
          <w:tcPr>
            <w:tcW w:type="dxa" w:w="2436"/>
            <w:shd w:val="clear" w:fill="1F3A5F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436"/>
            <w:shd w:val="clear" w:fill="1F3A5F"/>
          </w:tcPr>
          <w:p>
            <w:r>
              <w:rPr>
                <w:b/>
                <w:color w:val="FFFFFF"/>
              </w:rPr>
              <w:t>Actual</w:t>
            </w:r>
          </w:p>
        </w:tc>
        <w:tc>
          <w:tcPr>
            <w:tcW w:type="dxa" w:w="2436"/>
            <w:shd w:val="clear" w:fill="1F3A5F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2436"/>
          </w:tcPr>
          <w:p>
            <w:r>
              <w:rPr>
                <w:b/>
              </w:rPr>
              <w:t>DSCR</w:t>
            </w:r>
          </w:p>
        </w:tc>
        <w:tc>
          <w:tcPr>
            <w:tcW w:type="dxa" w:w="2436"/>
          </w:tcPr>
          <w:p>
            <w:r>
              <w:t>&gt;= 1.25</w:t>
            </w:r>
          </w:p>
        </w:tc>
        <w:tc>
          <w:tcPr>
            <w:tcW w:type="dxa" w:w="2436"/>
          </w:tcPr>
          <w:p>
            <w:r>
              <w:t>1.08</w:t>
            </w:r>
          </w:p>
        </w:tc>
        <w:tc>
          <w:tcPr>
            <w:tcW w:type="dxa" w:w="2436"/>
          </w:tcPr>
          <w:p>
            <w:r>
              <w:rPr>
                <w:b/>
                <w:color w:val="B01E1E"/>
              </w:rPr>
              <w:t>FAIL</w:t>
            </w:r>
          </w:p>
        </w:tc>
      </w:tr>
      <w:tr>
        <w:tc>
          <w:tcPr>
            <w:tcW w:type="dxa" w:w="2436"/>
          </w:tcPr>
          <w:p>
            <w:r>
              <w:rPr>
                <w:b/>
              </w:rPr>
              <w:t>Loan-to-value</w:t>
            </w:r>
          </w:p>
        </w:tc>
        <w:tc>
          <w:tcPr>
            <w:tcW w:type="dxa" w:w="2436"/>
          </w:tcPr>
          <w:p>
            <w:r>
              <w:t>&lt;= 70%</w:t>
            </w:r>
          </w:p>
        </w:tc>
        <w:tc>
          <w:tcPr>
            <w:tcW w:type="dxa" w:w="2436"/>
          </w:tcPr>
          <w:p>
            <w:r>
              <w:t>58.1%</w:t>
            </w:r>
          </w:p>
        </w:tc>
        <w:tc>
          <w:tcPr>
            <w:tcW w:type="dxa" w:w="2436"/>
          </w:tcPr>
          <w:p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2436"/>
          </w:tcPr>
          <w:p>
            <w:r>
              <w:rPr>
                <w:b/>
              </w:rPr>
              <w:t>Debt/equity</w:t>
            </w:r>
          </w:p>
        </w:tc>
        <w:tc>
          <w:tcPr>
            <w:tcW w:type="dxa" w:w="2436"/>
          </w:tcPr>
          <w:p>
            <w:r>
              <w:t>&lt;= 2.0</w:t>
            </w:r>
          </w:p>
        </w:tc>
        <w:tc>
          <w:tcPr>
            <w:tcW w:type="dxa" w:w="2436"/>
          </w:tcPr>
          <w:p>
            <w:r>
              <w:t>1.9</w:t>
            </w:r>
          </w:p>
        </w:tc>
        <w:tc>
          <w:tcPr>
            <w:tcW w:type="dxa" w:w="2436"/>
          </w:tcPr>
          <w:p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2436"/>
          </w:tcPr>
          <w:p>
            <w:r>
              <w:rPr>
                <w:b/>
              </w:rPr>
              <w:t>Current ratio</w:t>
            </w:r>
          </w:p>
        </w:tc>
        <w:tc>
          <w:tcPr>
            <w:tcW w:type="dxa" w:w="2436"/>
          </w:tcPr>
          <w:p>
            <w:r>
              <w:t>&gt;= 1.2</w:t>
            </w:r>
          </w:p>
        </w:tc>
        <w:tc>
          <w:tcPr>
            <w:tcW w:type="dxa" w:w="2436"/>
          </w:tcPr>
          <w:p>
            <w:r>
              <w:t>1.3</w:t>
            </w:r>
          </w:p>
        </w:tc>
        <w:tc>
          <w:tcPr>
            <w:tcW w:type="dxa" w:w="2436"/>
          </w:tcPr>
          <w:p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tcW w:type="dxa" w:w="2436"/>
          </w:tcPr>
          <w:p>
            <w:r>
              <w:rPr>
                <w:b/>
              </w:rPr>
              <w:t>GST vs bank credits gap</w:t>
            </w:r>
          </w:p>
        </w:tc>
        <w:tc>
          <w:tcPr>
            <w:tcW w:type="dxa" w:w="2436"/>
          </w:tcPr>
          <w:p>
            <w:r>
              <w:t>&lt;= 10%</w:t>
            </w:r>
          </w:p>
        </w:tc>
        <w:tc>
          <w:tcPr>
            <w:tcW w:type="dxa" w:w="2436"/>
          </w:tcPr>
          <w:p>
            <w:r>
              <w:t>18.1%</w:t>
            </w:r>
          </w:p>
        </w:tc>
        <w:tc>
          <w:tcPr>
            <w:tcW w:type="dxa" w:w="2436"/>
          </w:tcPr>
          <w:p>
            <w:r>
              <w:rPr>
                <w:b/>
                <w:color w:val="B01E1E"/>
              </w:rPr>
              <w:t>FAIL</w:t>
            </w:r>
          </w:p>
        </w:tc>
      </w:tr>
      <w:tr>
        <w:tc>
          <w:tcPr>
            <w:tcW w:type="dxa" w:w="2436"/>
          </w:tcPr>
          <w:p>
            <w:r>
              <w:rPr>
                <w:b/>
              </w:rPr>
              <w:t>Loan amount</w:t>
            </w:r>
          </w:p>
        </w:tc>
        <w:tc>
          <w:tcPr>
            <w:tcW w:type="dxa" w:w="2436"/>
          </w:tcPr>
          <w:p>
            <w:r>
              <w:t>&lt;= ₹10 Cr</w:t>
            </w:r>
          </w:p>
        </w:tc>
        <w:tc>
          <w:tcPr>
            <w:tcW w:type="dxa" w:w="2436"/>
          </w:tcPr>
          <w:p>
            <w:r>
              <w:t>₹5.0 Cr</w:t>
            </w:r>
          </w:p>
        </w:tc>
        <w:tc>
          <w:tcPr>
            <w:tcW w:type="dxa" w:w="2436"/>
          </w:tcPr>
          <w:p>
            <w:r>
              <w:rPr>
                <w:b/>
                <w:color w:val="1E7B34"/>
              </w:rPr>
              <w:t>PASS</w:t>
            </w:r>
          </w:p>
        </w:tc>
      </w:tr>
    </w:tbl>
    <w:p/>
    <w:p>
      <w:pPr>
        <w:pStyle w:val="Heading2"/>
      </w:pPr>
      <w:r>
        <w:t>5. Recommendation</w:t>
      </w:r>
    </w:p>
    <w:p>
      <w:pPr>
        <w:spacing w:after="120"/>
      </w:pPr>
      <w:r>
        <w:rPr>
          <w:b/>
        </w:rPr>
        <w:t>REFER TO COMMITTEE WITH CONDITIONS</w:t>
      </w:r>
    </w:p>
    <w:p>
      <w:pPr>
        <w:spacing w:after="120"/>
      </w:pPr>
      <w:r>
        <w:rPr>
          <w:b w:val="0"/>
        </w:rPr>
        <w:t xml:space="preserve">The applicant seeks a </w:t>
      </w:r>
      <w:r>
        <w:rPr>
          <w:b/>
        </w:rPr>
        <w:t>₹5.0 Cr term loan</w:t>
      </w:r>
      <w:r>
        <w:rPr>
          <w:b w:val="0"/>
        </w:rPr>
        <w:t xml:space="preserve">. Current analysis shows a </w:t>
      </w:r>
      <w:r>
        <w:rPr>
          <w:b/>
        </w:rPr>
        <w:t>DSCR of 1.08</w:t>
      </w:r>
      <w:r>
        <w:rPr>
          <w:b w:val="0"/>
        </w:rPr>
        <w:t xml:space="preserve"> (policy minimum 1.25) and a </w:t>
      </w:r>
      <w:r>
        <w:rPr>
          <w:b/>
        </w:rPr>
        <w:t>GST‑vs‑bank‑credits gap of 18.1%</w:t>
      </w:r>
      <w:r>
        <w:rPr>
          <w:b w:val="0"/>
        </w:rPr>
        <w:t xml:space="preserve"> (policy maximum 10%). Both metrics have failed the respective policy checks. Additionally, FY25 audited financials are unavailable and two cheques have bounced in the last 12 months, further heightening risk.</w:t>
      </w:r>
    </w:p>
    <w:p>
      <w:pPr>
        <w:pStyle w:val="ListBullet"/>
      </w:pPr>
      <w:r>
        <w:rPr>
          <w:b w:val="0"/>
        </w:rPr>
        <w:t>Submit audited FY25 financial statements for verification.</w:t>
      </w:r>
    </w:p>
    <w:p>
      <w:pPr>
        <w:pStyle w:val="ListBullet"/>
      </w:pPr>
      <w:r>
        <w:rPr>
          <w:b w:val="0"/>
        </w:rPr>
        <w:t>Provide a detailed explanation and remediation plan for the GST‑vs‑bank‑credits discrepancy.</w:t>
      </w:r>
    </w:p>
    <w:p>
      <w:pPr>
        <w:pStyle w:val="ListBullet"/>
      </w:pPr>
      <w:r>
        <w:rPr>
          <w:b w:val="0"/>
        </w:rPr>
        <w:t>Address the bounced cheques and demonstrate steps to improve cash flow to meet DSCR requirements.</w:t>
      </w:r>
    </w:p>
    <w:p>
      <w:pPr>
        <w:spacing w:after="120"/>
      </w:pPr>
      <w:r>
        <w:rPr>
          <w:b w:val="0"/>
        </w:rPr>
        <w:t>These conditions must be satisfied before any final approval can be considered.</w:t>
      </w:r>
    </w:p>
    <w:p>
      <w:pPr>
        <w:pStyle w:val="Heading2"/>
      </w:pPr>
      <w:r>
        <w:t>Agent self-check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C9D3DF"/>
          <w:left w:val="single" w:sz="4" w:color="C9D3DF"/>
          <w:bottom w:val="single" w:sz="4" w:color="C9D3DF"/>
          <w:right w:val="single" w:sz="4" w:color="C9D3DF"/>
          <w:insideH w:val="single" w:sz="4" w:color="C9D3DF"/>
          <w:insideV w:val="single" w:sz="4" w:color="C9D3DF"/>
        </w:tblBorders>
      </w:tblPr>
      <w:tblGrid>
        <w:gridCol w:w="4873"/>
        <w:gridCol w:w="4873"/>
      </w:tblGrid>
      <w:tr>
        <w:tc>
          <w:tcPr>
            <w:tcW w:type="dxa" w:w="5102"/>
            <w:shd w:val="clear" w:fill="1F3A5F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3969"/>
            <w:shd w:val="clear" w:fill="1F3A5F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5102"/>
          </w:tcPr>
          <w:p>
            <w:r>
              <w:rPr>
                <w:b/>
              </w:rPr>
              <w:t>Sections written</w:t>
            </w:r>
          </w:p>
        </w:tc>
        <w:tc>
          <w:tcPr>
            <w:tcW w:type="dxa" w:w="3969"/>
          </w:tcPr>
          <w:p>
            <w:r>
              <w:t>5/5</w:t>
            </w:r>
          </w:p>
        </w:tc>
      </w:tr>
      <w:tr>
        <w:tc>
          <w:tcPr>
            <w:tcW w:type="dxa" w:w="5102"/>
          </w:tcPr>
          <w:p>
            <w:r>
              <w:rPr>
                <w:b/>
              </w:rPr>
              <w:t>Ratios computed</w:t>
            </w:r>
          </w:p>
        </w:tc>
        <w:tc>
          <w:tcPr>
            <w:tcW w:type="dxa" w:w="3969"/>
          </w:tcPr>
          <w:p>
            <w:r>
              <w:t>yes</w:t>
            </w:r>
          </w:p>
        </w:tc>
      </w:tr>
      <w:tr>
        <w:tc>
          <w:tcPr>
            <w:tcW w:type="dxa" w:w="5102"/>
          </w:tcPr>
          <w:p>
            <w:r>
              <w:rPr>
                <w:b/>
              </w:rPr>
              <w:t>Policy rules tested</w:t>
            </w:r>
          </w:p>
        </w:tc>
        <w:tc>
          <w:tcPr>
            <w:tcW w:type="dxa" w:w="3969"/>
          </w:tcPr>
          <w:p>
            <w:r>
              <w:t>6 (4 pass, 2 fail)</w:t>
            </w:r>
          </w:p>
        </w:tc>
      </w:tr>
      <w:tr>
        <w:tc>
          <w:tcPr>
            <w:tcW w:type="dxa" w:w="5102"/>
          </w:tcPr>
          <w:p>
            <w:r>
              <w:rPr>
                <w:b/>
              </w:rPr>
              <w:t>Figures checked against source data</w:t>
            </w:r>
          </w:p>
        </w:tc>
        <w:tc>
          <w:tcPr>
            <w:tcW w:type="dxa" w:w="3969"/>
          </w:tcPr>
          <w:p>
            <w:r>
              <w:t>all grounded</w:t>
            </w:r>
          </w:p>
        </w:tc>
      </w:tr>
      <w:tr>
        <w:tc>
          <w:tcPr>
            <w:tcW w:type="dxa" w:w="5102"/>
          </w:tcPr>
          <w:p>
            <w:r>
              <w:rPr>
                <w:b/>
              </w:rPr>
              <w:t>Repairs made by the agent</w:t>
            </w:r>
          </w:p>
        </w:tc>
        <w:tc>
          <w:tcPr>
            <w:tcW w:type="dxa" w:w="3969"/>
          </w:tcPr>
          <w:p>
            <w:r>
              <w:t>0</w:t>
            </w:r>
          </w:p>
        </w:tc>
      </w:tr>
    </w:tbl>
    <w:p/>
    <w:p>
      <w:pPr>
        <w:pStyle w:val="Heading2"/>
      </w:pPr>
      <w:r>
        <w:t>Credit officer sign-off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C9D3DF"/>
          <w:left w:val="single" w:sz="4" w:color="C9D3DF"/>
          <w:bottom w:val="single" w:sz="4" w:color="C9D3DF"/>
          <w:right w:val="single" w:sz="4" w:color="C9D3DF"/>
          <w:insideH w:val="single" w:sz="4" w:color="C9D3DF"/>
          <w:insideV w:val="single" w:sz="4" w:color="C9D3DF"/>
        </w:tblBorders>
      </w:tblPr>
      <w:tblGrid>
        <w:gridCol w:w="4873"/>
        <w:gridCol w:w="4873"/>
      </w:tblGrid>
      <w:tr>
        <w:tc>
          <w:tcPr>
            <w:tcW w:type="dxa" w:w="3969"/>
            <w:shd w:val="clear" w:fill="1F3A5F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02"/>
            <w:shd w:val="clear" w:fill="1F3A5F"/>
          </w:tcPr>
          <w:p>
            <w:r>
              <w:rPr>
                <w:b/>
                <w:color w:val="FFFFFF"/>
              </w:rPr>
              <w:t>Entry</w:t>
            </w:r>
          </w:p>
        </w:tc>
      </w:tr>
      <w:tr>
        <w:tc>
          <w:tcPr>
            <w:tcW w:type="dxa" w:w="3969"/>
          </w:tcPr>
          <w:p>
            <w:r>
              <w:rPr>
                <w:b/>
              </w:rPr>
              <w:t>Name</w:t>
            </w:r>
          </w:p>
        </w:tc>
        <w:tc>
          <w:tcPr>
            <w:tcW w:type="dxa" w:w="5102"/>
          </w:tcPr>
          <w:p>
            <w:r/>
          </w:p>
        </w:tc>
      </w:tr>
      <w:tr>
        <w:tc>
          <w:tcPr>
            <w:tcW w:type="dxa" w:w="3969"/>
          </w:tcPr>
          <w:p>
            <w:r>
              <w:rPr>
                <w:b/>
              </w:rPr>
              <w:t>Decision (approve / reject / refer)</w:t>
            </w:r>
          </w:p>
        </w:tc>
        <w:tc>
          <w:tcPr>
            <w:tcW w:type="dxa" w:w="5102"/>
          </w:tcPr>
          <w:p>
            <w:r/>
          </w:p>
        </w:tc>
      </w:tr>
      <w:tr>
        <w:tc>
          <w:tcPr>
            <w:tcW w:type="dxa" w:w="3969"/>
          </w:tcPr>
          <w:p>
            <w:r>
              <w:rPr>
                <w:b/>
              </w:rPr>
              <w:t>Conditions</w:t>
            </w:r>
          </w:p>
        </w:tc>
        <w:tc>
          <w:tcPr>
            <w:tcW w:type="dxa" w:w="5102"/>
          </w:tcPr>
          <w:p>
            <w:r/>
          </w:p>
        </w:tc>
      </w:tr>
      <w:tr>
        <w:tc>
          <w:tcPr>
            <w:tcW w:type="dxa" w:w="3969"/>
          </w:tcPr>
          <w:p>
            <w:r>
              <w:rPr>
                <w:b/>
              </w:rPr>
              <w:t>Signature and date</w:t>
            </w:r>
          </w:p>
        </w:tc>
        <w:tc>
          <w:tcPr>
            <w:tcW w:type="dxa" w:w="5102"/>
          </w:tcPr>
          <w:p>
            <w:r/>
          </w:p>
        </w:tc>
      </w:tr>
    </w:tbl>
    <w:p/>
    <w:p>
      <w:r>
        <w:br w:type="page"/>
      </w:r>
    </w:p>
    <w:p>
      <w:pPr>
        <w:pStyle w:val="Heading2"/>
      </w:pPr>
      <w:r>
        <w:t>Appendix: agent audit trail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C9D3DF"/>
          <w:left w:val="single" w:sz="4" w:color="C9D3DF"/>
          <w:bottom w:val="single" w:sz="4" w:color="C9D3DF"/>
          <w:right w:val="single" w:sz="4" w:color="C9D3DF"/>
          <w:insideH w:val="single" w:sz="4" w:color="C9D3DF"/>
          <w:insideV w:val="single" w:sz="4" w:color="C9D3DF"/>
        </w:tblBorders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454"/>
            <w:shd w:val="clear" w:fill="1F3A5F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041"/>
            <w:shd w:val="clear" w:fill="1F3A5F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737"/>
            <w:shd w:val="clear" w:fill="1F3A5F"/>
          </w:tcPr>
          <w:p>
            <w:r>
              <w:rPr>
                <w:b/>
                <w:color w:val="FFFFFF"/>
              </w:rPr>
              <w:t>By</w:t>
            </w:r>
          </w:p>
        </w:tc>
        <w:tc>
          <w:tcPr>
            <w:tcW w:type="dxa" w:w="794"/>
            <w:shd w:val="clear" w:fill="1F3A5F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4762"/>
            <w:shd w:val="clear" w:fill="1F3A5F"/>
          </w:tcPr>
          <w:p>
            <w:r>
              <w:rPr>
                <w:b/>
                <w:color w:val="FFFFFF"/>
              </w:rPr>
              <w:t>Result</w:t>
            </w:r>
          </w:p>
        </w:tc>
        <w:tc>
          <w:tcPr>
            <w:tcW w:type="dxa" w:w="680"/>
            <w:shd w:val="clear" w:fill="1F3A5F"/>
          </w:tcPr>
          <w:p>
            <w:r>
              <w:rPr>
                <w:b/>
                <w:color w:val="FFFFFF"/>
              </w:rPr>
              <w:t>ms</w:t>
            </w:r>
          </w:p>
        </w:tc>
      </w:tr>
      <w:tr>
        <w:tc>
          <w:tcPr>
            <w:tcW w:type="dxa" w:w="454"/>
          </w:tcPr>
          <w:p>
            <w:r/>
          </w:p>
        </w:tc>
        <w:tc>
          <w:tcPr>
            <w:tcW w:type="dxa" w:w="2041"/>
          </w:tcPr>
          <w:p>
            <w:r>
              <w:t>plan</w:t>
            </w:r>
          </w:p>
        </w:tc>
        <w:tc>
          <w:tcPr>
            <w:tcW w:type="dxa" w:w="737"/>
          </w:tcPr>
          <w:p>
            <w:r>
              <w:t>LLM</w:t>
            </w:r>
          </w:p>
        </w:tc>
        <w:tc>
          <w:tcPr>
            <w:tcW w:type="dxa" w:w="794"/>
          </w:tcPr>
          <w:p>
            <w:r>
              <w:t>done</w:t>
            </w:r>
          </w:p>
        </w:tc>
        <w:tc>
          <w:tcPr>
            <w:tcW w:type="dxa" w:w="4762"/>
          </w:tcPr>
          <w:p>
            <w:r>
              <w:t>plan drafted</w:t>
            </w:r>
          </w:p>
        </w:tc>
        <w:tc>
          <w:tcPr>
            <w:tcW w:type="dxa" w:w="680"/>
          </w:tcPr>
          <w:p>
            <w:r>
              <w:t>7837</w:t>
            </w:r>
          </w:p>
        </w:tc>
      </w:tr>
      <w:tr>
        <w:tc>
          <w:tcPr>
            <w:tcW w:type="dxa" w:w="454"/>
          </w:tcPr>
          <w:p>
            <w:r/>
          </w:p>
        </w:tc>
        <w:tc>
          <w:tcPr>
            <w:tcW w:type="dxa" w:w="2041"/>
          </w:tcPr>
          <w:p>
            <w:r>
              <w:t>validate_plan</w:t>
            </w:r>
          </w:p>
        </w:tc>
        <w:tc>
          <w:tcPr>
            <w:tcW w:type="dxa" w:w="737"/>
          </w:tcPr>
          <w:p>
            <w:r>
              <w:t>CODE</w:t>
            </w:r>
          </w:p>
        </w:tc>
        <w:tc>
          <w:tcPr>
            <w:tcW w:type="dxa" w:w="794"/>
          </w:tcPr>
          <w:p>
            <w:r>
              <w:t>done</w:t>
            </w:r>
          </w:p>
        </w:tc>
        <w:tc>
          <w:tcPr>
            <w:tcW w:type="dxa" w:w="4762"/>
          </w:tcPr>
          <w:p>
            <w:r>
              <w:t>valid: 12 tasks, 2 assumptions</w:t>
            </w:r>
          </w:p>
        </w:tc>
        <w:tc>
          <w:tcPr>
            <w:tcW w:type="dxa" w:w="680"/>
          </w:tcPr>
          <w:p>
            <w:r>
              <w:t>0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041"/>
          </w:tcPr>
          <w:p>
            <w:r>
              <w:t>get_borrower_profile</w:t>
            </w:r>
          </w:p>
        </w:tc>
        <w:tc>
          <w:tcPr>
            <w:tcW w:type="dxa" w:w="737"/>
          </w:tcPr>
          <w:p>
            <w:r>
              <w:t>CODE</w:t>
            </w:r>
          </w:p>
        </w:tc>
        <w:tc>
          <w:tcPr>
            <w:tcW w:type="dxa" w:w="794"/>
          </w:tcPr>
          <w:p>
            <w:r>
              <w:t>done</w:t>
            </w:r>
          </w:p>
        </w:tc>
        <w:tc>
          <w:tcPr>
            <w:tcW w:type="dxa" w:w="4762"/>
          </w:tcPr>
          <w:p>
            <w:r>
              <w:t>Patel Agro Pvt Ltd, Food processing (spices and pulses), 9 yrs, Nashik</w:t>
            </w:r>
          </w:p>
        </w:tc>
        <w:tc>
          <w:tcPr>
            <w:tcW w:type="dxa" w:w="680"/>
          </w:tcPr>
          <w:p>
            <w:r>
              <w:t>0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041"/>
          </w:tcPr>
          <w:p>
            <w:r>
              <w:t>get_financials</w:t>
            </w:r>
          </w:p>
        </w:tc>
        <w:tc>
          <w:tcPr>
            <w:tcW w:type="dxa" w:w="737"/>
          </w:tcPr>
          <w:p>
            <w:r>
              <w:t>CODE</w:t>
            </w:r>
          </w:p>
        </w:tc>
        <w:tc>
          <w:tcPr>
            <w:tcW w:type="dxa" w:w="794"/>
          </w:tcPr>
          <w:p>
            <w:r>
              <w:t>done</w:t>
            </w:r>
          </w:p>
        </w:tc>
        <w:tc>
          <w:tcPr>
            <w:tcW w:type="dxa" w:w="4762"/>
          </w:tcPr>
          <w:p>
            <w:r>
              <w:t>FY24: audited, revenue ₹14.6 Cr, PAT ₹1.08 Cr</w:t>
            </w:r>
          </w:p>
        </w:tc>
        <w:tc>
          <w:tcPr>
            <w:tcW w:type="dxa" w:w="680"/>
          </w:tcPr>
          <w:p>
            <w:r>
              <w:t>0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041"/>
          </w:tcPr>
          <w:p>
            <w:r>
              <w:t>get_financials</w:t>
            </w:r>
          </w:p>
        </w:tc>
        <w:tc>
          <w:tcPr>
            <w:tcW w:type="dxa" w:w="737"/>
          </w:tcPr>
          <w:p>
            <w:r>
              <w:t>CODE</w:t>
            </w:r>
          </w:p>
        </w:tc>
        <w:tc>
          <w:tcPr>
            <w:tcW w:type="dxa" w:w="794"/>
          </w:tcPr>
          <w:p>
            <w:r>
              <w:t>done</w:t>
            </w:r>
          </w:p>
        </w:tc>
        <w:tc>
          <w:tcPr>
            <w:tcW w:type="dxa" w:w="4762"/>
          </w:tcPr>
          <w:p>
            <w:r>
              <w:t>FY25: provisional, revenue ₹15.4 Cr, PAT ₹1.2 Cr</w:t>
            </w:r>
          </w:p>
        </w:tc>
        <w:tc>
          <w:tcPr>
            <w:tcW w:type="dxa" w:w="680"/>
          </w:tcPr>
          <w:p>
            <w:r>
              <w:t>0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041"/>
          </w:tcPr>
          <w:p>
            <w:r>
              <w:t>get_gst_returns</w:t>
            </w:r>
          </w:p>
        </w:tc>
        <w:tc>
          <w:tcPr>
            <w:tcW w:type="dxa" w:w="737"/>
          </w:tcPr>
          <w:p>
            <w:r>
              <w:t>CODE</w:t>
            </w:r>
          </w:p>
        </w:tc>
        <w:tc>
          <w:tcPr>
            <w:tcW w:type="dxa" w:w="794"/>
          </w:tcPr>
          <w:p>
            <w:r>
              <w:t>done</w:t>
            </w:r>
          </w:p>
        </w:tc>
        <w:tc>
          <w:tcPr>
            <w:tcW w:type="dxa" w:w="4762"/>
          </w:tcPr>
          <w:p>
            <w:r>
              <w:t>GST turnover ₹18.2 Cr (12 m), 11 of 12 filed on time</w:t>
            </w:r>
          </w:p>
        </w:tc>
        <w:tc>
          <w:tcPr>
            <w:tcW w:type="dxa" w:w="680"/>
          </w:tcPr>
          <w:p>
            <w:r>
              <w:t>0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041"/>
          </w:tcPr>
          <w:p>
            <w:r>
              <w:t>get_bank_statements</w:t>
            </w:r>
          </w:p>
        </w:tc>
        <w:tc>
          <w:tcPr>
            <w:tcW w:type="dxa" w:w="737"/>
          </w:tcPr>
          <w:p>
            <w:r>
              <w:t>CODE</w:t>
            </w:r>
          </w:p>
        </w:tc>
        <w:tc>
          <w:tcPr>
            <w:tcW w:type="dxa" w:w="794"/>
          </w:tcPr>
          <w:p>
            <w:r>
              <w:t>done</w:t>
            </w:r>
          </w:p>
        </w:tc>
        <w:tc>
          <w:tcPr>
            <w:tcW w:type="dxa" w:w="4762"/>
          </w:tcPr>
          <w:p>
            <w:r>
              <w:t>Bank credits ₹14.9 Cr (12 m), 2 bounced cheques</w:t>
            </w:r>
          </w:p>
        </w:tc>
        <w:tc>
          <w:tcPr>
            <w:tcW w:type="dxa" w:w="680"/>
          </w:tcPr>
          <w:p>
            <w:r>
              <w:t>0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041"/>
          </w:tcPr>
          <w:p>
            <w:r>
              <w:t>get_credit_policy</w:t>
            </w:r>
          </w:p>
        </w:tc>
        <w:tc>
          <w:tcPr>
            <w:tcW w:type="dxa" w:w="737"/>
          </w:tcPr>
          <w:p>
            <w:r>
              <w:t>CODE</w:t>
            </w:r>
          </w:p>
        </w:tc>
        <w:tc>
          <w:tcPr>
            <w:tcW w:type="dxa" w:w="794"/>
          </w:tcPr>
          <w:p>
            <w:r>
              <w:t>done</w:t>
            </w:r>
          </w:p>
        </w:tc>
        <w:tc>
          <w:tcPr>
            <w:tcW w:type="dxa" w:w="4762"/>
          </w:tcPr>
          <w:p>
            <w:r>
              <w:t>Mock SME Credit Policy v1</w:t>
            </w:r>
          </w:p>
        </w:tc>
        <w:tc>
          <w:tcPr>
            <w:tcW w:type="dxa" w:w="680"/>
          </w:tcPr>
          <w:p>
            <w:r>
              <w:t>0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041"/>
          </w:tcPr>
          <w:p>
            <w:r>
              <w:t>compute_ratios</w:t>
            </w:r>
          </w:p>
        </w:tc>
        <w:tc>
          <w:tcPr>
            <w:tcW w:type="dxa" w:w="737"/>
          </w:tcPr>
          <w:p>
            <w:r>
              <w:t>CODE</w:t>
            </w:r>
          </w:p>
        </w:tc>
        <w:tc>
          <w:tcPr>
            <w:tcW w:type="dxa" w:w="794"/>
          </w:tcPr>
          <w:p>
            <w:r>
              <w:t>done</w:t>
            </w:r>
          </w:p>
        </w:tc>
        <w:tc>
          <w:tcPr>
            <w:tcW w:type="dxa" w:w="4762"/>
          </w:tcPr>
          <w:p>
            <w:r>
              <w:t>DSCR 1.08 · LTV 58.1% · D/E 1.9 · CR 1.3 · GST gap 18.1% (from FY25)</w:t>
            </w:r>
          </w:p>
        </w:tc>
        <w:tc>
          <w:tcPr>
            <w:tcW w:type="dxa" w:w="680"/>
          </w:tcPr>
          <w:p>
            <w:r>
              <w:t>0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041"/>
          </w:tcPr>
          <w:p>
            <w:r>
              <w:t>draft_section</w:t>
            </w:r>
          </w:p>
        </w:tc>
        <w:tc>
          <w:tcPr>
            <w:tcW w:type="dxa" w:w="737"/>
          </w:tcPr>
          <w:p>
            <w:r>
              <w:t>LLM</w:t>
            </w:r>
          </w:p>
        </w:tc>
        <w:tc>
          <w:tcPr>
            <w:tcW w:type="dxa" w:w="794"/>
          </w:tcPr>
          <w:p>
            <w:r>
              <w:t>done</w:t>
            </w:r>
          </w:p>
        </w:tc>
        <w:tc>
          <w:tcPr>
            <w:tcW w:type="dxa" w:w="4762"/>
          </w:tcPr>
          <w:p>
            <w:r>
              <w:t>52 words</w:t>
            </w:r>
          </w:p>
        </w:tc>
        <w:tc>
          <w:tcPr>
            <w:tcW w:type="dxa" w:w="680"/>
          </w:tcPr>
          <w:p>
            <w:r>
              <w:t>2772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041"/>
          </w:tcPr>
          <w:p>
            <w:r>
              <w:t>draft_section</w:t>
            </w:r>
          </w:p>
        </w:tc>
        <w:tc>
          <w:tcPr>
            <w:tcW w:type="dxa" w:w="737"/>
          </w:tcPr>
          <w:p>
            <w:r>
              <w:t>LLM</w:t>
            </w:r>
          </w:p>
        </w:tc>
        <w:tc>
          <w:tcPr>
            <w:tcW w:type="dxa" w:w="794"/>
          </w:tcPr>
          <w:p>
            <w:r>
              <w:t>done</w:t>
            </w:r>
          </w:p>
        </w:tc>
        <w:tc>
          <w:tcPr>
            <w:tcW w:type="dxa" w:w="4762"/>
          </w:tcPr>
          <w:p>
            <w:r>
              <w:t>127 words</w:t>
            </w:r>
          </w:p>
        </w:tc>
        <w:tc>
          <w:tcPr>
            <w:tcW w:type="dxa" w:w="680"/>
          </w:tcPr>
          <w:p>
            <w:r>
              <w:t>6211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041"/>
          </w:tcPr>
          <w:p>
            <w:r>
              <w:t>draft_section</w:t>
            </w:r>
          </w:p>
        </w:tc>
        <w:tc>
          <w:tcPr>
            <w:tcW w:type="dxa" w:w="737"/>
          </w:tcPr>
          <w:p>
            <w:r>
              <w:t>LLM</w:t>
            </w:r>
          </w:p>
        </w:tc>
        <w:tc>
          <w:tcPr>
            <w:tcW w:type="dxa" w:w="794"/>
          </w:tcPr>
          <w:p>
            <w:r>
              <w:t>done</w:t>
            </w:r>
          </w:p>
        </w:tc>
        <w:tc>
          <w:tcPr>
            <w:tcW w:type="dxa" w:w="4762"/>
          </w:tcPr>
          <w:p>
            <w:r>
              <w:t>147 words</w:t>
            </w:r>
          </w:p>
        </w:tc>
        <w:tc>
          <w:tcPr>
            <w:tcW w:type="dxa" w:w="680"/>
          </w:tcPr>
          <w:p>
            <w:r>
              <w:t>9066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041"/>
          </w:tcPr>
          <w:p>
            <w:r>
              <w:t>draft_section</w:t>
            </w:r>
          </w:p>
        </w:tc>
        <w:tc>
          <w:tcPr>
            <w:tcW w:type="dxa" w:w="737"/>
          </w:tcPr>
          <w:p>
            <w:r>
              <w:t>LLM</w:t>
            </w:r>
          </w:p>
        </w:tc>
        <w:tc>
          <w:tcPr>
            <w:tcW w:type="dxa" w:w="794"/>
          </w:tcPr>
          <w:p>
            <w:r>
              <w:t>done</w:t>
            </w:r>
          </w:p>
        </w:tc>
        <w:tc>
          <w:tcPr>
            <w:tcW w:type="dxa" w:w="4762"/>
          </w:tcPr>
          <w:p>
            <w:r>
              <w:t>81 words</w:t>
            </w:r>
          </w:p>
        </w:tc>
        <w:tc>
          <w:tcPr>
            <w:tcW w:type="dxa" w:w="680"/>
          </w:tcPr>
          <w:p>
            <w:r>
              <w:t>5854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041"/>
          </w:tcPr>
          <w:p>
            <w:r>
              <w:t>draft_section</w:t>
            </w:r>
          </w:p>
        </w:tc>
        <w:tc>
          <w:tcPr>
            <w:tcW w:type="dxa" w:w="737"/>
          </w:tcPr>
          <w:p>
            <w:r>
              <w:t>LLM</w:t>
            </w:r>
          </w:p>
        </w:tc>
        <w:tc>
          <w:tcPr>
            <w:tcW w:type="dxa" w:w="794"/>
          </w:tcPr>
          <w:p>
            <w:r>
              <w:t>done</w:t>
            </w:r>
          </w:p>
        </w:tc>
        <w:tc>
          <w:tcPr>
            <w:tcW w:type="dxa" w:w="4762"/>
          </w:tcPr>
          <w:p>
            <w:r>
              <w:t>107 words</w:t>
            </w:r>
          </w:p>
        </w:tc>
        <w:tc>
          <w:tcPr>
            <w:tcW w:type="dxa" w:w="680"/>
          </w:tcPr>
          <w:p>
            <w:r>
              <w:t>4891</w:t>
            </w:r>
          </w:p>
        </w:tc>
      </w:tr>
    </w:tbl>
    <w:p/>
    <w:p>
      <w:r>
        <w:rPr>
          <w:i/>
          <w:color w:val="666666"/>
          <w:sz w:val="18"/>
        </w:rPr>
        <w:t>* added by the agent's self-check.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Credit Memo · Patel Agro Pvt Ltd · DRAFT for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