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Credit Memo</w:t>
      </w:r>
    </w:p>
    <w:p>
      <w:pPr>
        <w:pStyle w:val="Heading1"/>
      </w:pPr>
      <w:r>
        <w:t>Shree Ganesh Packaging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color="C9D3DF"/>
          <w:left w:val="single" w:sz="4" w:color="C9D3DF"/>
          <w:bottom w:val="single" w:sz="4" w:color="C9D3DF"/>
          <w:right w:val="single" w:sz="4" w:color="C9D3DF"/>
          <w:insideH w:val="single" w:sz="4" w:color="C9D3DF"/>
          <w:insideV w:val="single" w:sz="4" w:color="C9D3DF"/>
        </w:tblBorders>
      </w:tblPr>
      <w:tblGrid>
        <w:gridCol w:w="4873"/>
        <w:gridCol w:w="4873"/>
      </w:tblGrid>
      <w:tr>
        <w:tc>
          <w:tcPr>
            <w:tcW w:type="dxa" w:w="2835"/>
            <w:shd w:val="clear" w:fill="1F3A5F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6236"/>
            <w:shd w:val="clear" w:fill="1F3A5F"/>
          </w:tcPr>
          <w:p>
            <w:r>
              <w:rPr>
                <w:b/>
                <w:color w:val="FFFFFF"/>
              </w:rPr>
              <w:t>Detail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  <w:t>Facility</w:t>
            </w:r>
          </w:p>
        </w:tc>
        <w:tc>
          <w:tcPr>
            <w:tcW w:type="dxa" w:w="6236"/>
          </w:tcPr>
          <w:p>
            <w:r>
              <w:t>₹1 Cr working capital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  <w:t>Industry / location</w:t>
            </w:r>
          </w:p>
        </w:tc>
        <w:tc>
          <w:tcPr>
            <w:tcW w:type="dxa" w:w="6236"/>
          </w:tcPr>
          <w:p>
            <w:r>
              <w:t>Corrugated packaging, Bhiwandi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  <w:t>Date</w:t>
            </w:r>
          </w:p>
        </w:tc>
        <w:tc>
          <w:tcPr>
            <w:tcW w:type="dxa" w:w="6236"/>
          </w:tcPr>
          <w:p>
            <w:r>
              <w:t>22 Oct 2026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  <w:t>Data basis</w:t>
            </w:r>
          </w:p>
        </w:tc>
        <w:tc>
          <w:tcPr>
            <w:tcW w:type="dxa" w:w="6236"/>
          </w:tcPr>
          <w:p>
            <w:r>
              <w:t>FY25 audited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  <w:t>Prepared by</w:t>
            </w:r>
          </w:p>
        </w:tc>
        <w:tc>
          <w:tcPr>
            <w:tcW w:type="dxa" w:w="6236"/>
          </w:tcPr>
          <w:p>
            <w:r>
              <w:t>Credit memo agent (AI draft)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6236"/>
          </w:tcPr>
          <w:p>
            <w:r>
              <w:t>DRAFT for credit officer review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6F4EA"/>
          </w:tcPr>
          <w:p>
            <w:r>
              <w:rPr>
                <w:b/>
                <w:color w:val="666666"/>
                <w:sz w:val="16"/>
              </w:rPr>
              <w:t>RECOMMENDATION</w:t>
              <w:br/>
            </w:r>
            <w:r>
              <w:rPr>
                <w:b/>
                <w:color w:val="1E7B34"/>
                <w:sz w:val="28"/>
              </w:rPr>
              <w:t>RECOMMEND APPROVAL</w:t>
            </w:r>
            <w:r>
              <w:rPr>
                <w:color w:val="666666"/>
                <w:sz w:val="18"/>
              </w:rPr>
              <w:br/>
              <w:t>6 of 6 policy rules pass</w:t>
            </w:r>
          </w:p>
        </w:tc>
      </w:tr>
    </w:tbl>
    <w:p/>
    <w:p>
      <w:pPr>
        <w:pStyle w:val="Heading2"/>
      </w:pPr>
      <w:r>
        <w:t>Assumptions, flags and open questions</w:t>
      </w:r>
    </w:p>
    <w:p>
      <w:pPr>
        <w:pStyle w:val="ListBullet"/>
      </w:pPr>
      <w:r>
        <w:rPr>
          <w:b/>
        </w:rPr>
        <w:t xml:space="preserve">Assumption: </w:t>
      </w:r>
      <w:r>
        <w:t>Assume loan amount of INR 1 crore as not specified in the request.</w:t>
      </w:r>
    </w:p>
    <w:p>
      <w:pPr>
        <w:pStyle w:val="ListBullet"/>
      </w:pPr>
      <w:r>
        <w:rPr>
          <w:b/>
        </w:rPr>
        <w:t xml:space="preserve">Assumption: </w:t>
      </w:r>
      <w:r>
        <w:t>Assume the loan is for working capital as loan type not mentioned.</w:t>
      </w:r>
    </w:p>
    <w:p>
      <w:pPr>
        <w:pStyle w:val="Heading2"/>
      </w:pPr>
      <w:r>
        <w:t>1. Borrower Overview</w:t>
      </w:r>
    </w:p>
    <w:p>
      <w:pPr>
        <w:spacing w:after="120"/>
      </w:pPr>
      <w:r>
        <w:rPr>
          <w:b w:val="0"/>
        </w:rPr>
        <w:t xml:space="preserve">Shree Ganesh Packaging is a </w:t>
      </w:r>
      <w:r>
        <w:rPr>
          <w:b/>
        </w:rPr>
        <w:t>14‑year‑old</w:t>
      </w:r>
      <w:r>
        <w:rPr>
          <w:b w:val="0"/>
        </w:rPr>
        <w:t xml:space="preserve"> corrugated packaging manufacturer based in Bhiwandi. The business is promoted by </w:t>
      </w:r>
      <w:r>
        <w:rPr>
          <w:b/>
        </w:rPr>
        <w:t>Sunil Joshi</w:t>
      </w:r>
      <w:r>
        <w:rPr>
          <w:b w:val="0"/>
        </w:rPr>
        <w:t xml:space="preserve"> and currently sources working capital from Cosmos Co‑operative Bank.</w:t>
      </w:r>
    </w:p>
    <w:p>
      <w:pPr>
        <w:spacing w:after="120"/>
      </w:pPr>
      <w:r>
        <w:rPr>
          <w:b w:val="0"/>
        </w:rPr>
        <w:t xml:space="preserve">The borrower seeks a </w:t>
      </w:r>
      <w:r>
        <w:rPr>
          <w:b/>
        </w:rPr>
        <w:t>₹1.0 Cr</w:t>
      </w:r>
      <w:r>
        <w:rPr>
          <w:b w:val="0"/>
        </w:rPr>
        <w:t xml:space="preserve"> working‑capital facility to support its ongoing operations.</w:t>
      </w:r>
    </w:p>
    <w:p>
      <w:pPr>
        <w:pStyle w:val="Heading2"/>
      </w:pPr>
      <w:r>
        <w:t>2. Financial Analysis</w:t>
      </w:r>
    </w:p>
    <w:p>
      <w:pPr>
        <w:spacing w:after="120"/>
      </w:pPr>
      <w:r>
        <w:rPr>
          <w:b w:val="0"/>
        </w:rPr>
        <w:t xml:space="preserve">The FY25 financials are audited. Revenue stands at </w:t>
      </w:r>
      <w:r>
        <w:rPr>
          <w:b/>
        </w:rPr>
        <w:t>₹21.8 Cr</w:t>
      </w:r>
      <w:r>
        <w:rPr>
          <w:b w:val="0"/>
        </w:rPr>
        <w:t xml:space="preserve">, generating a profit after tax of </w:t>
      </w:r>
      <w:r>
        <w:rPr>
          <w:b/>
        </w:rPr>
        <w:t>₹1.0 Cr</w:t>
      </w:r>
      <w:r>
        <w:rPr>
          <w:b w:val="0"/>
        </w:rPr>
        <w:t xml:space="preserve">. Depreciation expense is </w:t>
      </w:r>
      <w:r>
        <w:rPr>
          <w:b/>
        </w:rPr>
        <w:t>₹0.4 Cr</w:t>
      </w:r>
      <w:r>
        <w:rPr>
          <w:b w:val="0"/>
        </w:rPr>
        <w:t xml:space="preserve"> and interest expense is </w:t>
      </w:r>
      <w:r>
        <w:rPr>
          <w:b/>
        </w:rPr>
        <w:t>₹0.36 Cr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Single‑year data limits trend analysis; no comparative growth or ratio assessment is available.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color="C9D3DF"/>
          <w:left w:val="single" w:sz="4" w:color="C9D3DF"/>
          <w:bottom w:val="single" w:sz="4" w:color="C9D3DF"/>
          <w:right w:val="single" w:sz="4" w:color="C9D3DF"/>
          <w:insideH w:val="single" w:sz="4" w:color="C9D3DF"/>
          <w:insideV w:val="single" w:sz="4" w:color="C9D3DF"/>
        </w:tblBorders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fill="1F3A5F"/>
          </w:tcPr>
          <w:p>
            <w:r>
              <w:rPr>
                <w:b/>
                <w:color w:val="FFFFFF"/>
              </w:rPr>
              <w:t>Year</w:t>
            </w:r>
          </w:p>
        </w:tc>
        <w:tc>
          <w:tcPr>
            <w:tcW w:type="dxa" w:w="1624"/>
            <w:shd w:val="clear" w:fill="1F3A5F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1624"/>
            <w:shd w:val="clear" w:fill="1F3A5F"/>
          </w:tcPr>
          <w:p>
            <w:r>
              <w:rPr>
                <w:b/>
                <w:color w:val="FFFFFF"/>
              </w:rPr>
              <w:t>Revenue</w:t>
            </w:r>
          </w:p>
        </w:tc>
        <w:tc>
          <w:tcPr>
            <w:tcW w:type="dxa" w:w="1624"/>
            <w:shd w:val="clear" w:fill="1F3A5F"/>
          </w:tcPr>
          <w:p>
            <w:r>
              <w:rPr>
                <w:b/>
                <w:color w:val="FFFFFF"/>
              </w:rPr>
              <w:t>PAT</w:t>
            </w:r>
          </w:p>
        </w:tc>
        <w:tc>
          <w:tcPr>
            <w:tcW w:type="dxa" w:w="1624"/>
            <w:shd w:val="clear" w:fill="1F3A5F"/>
          </w:tcPr>
          <w:p>
            <w:r>
              <w:rPr>
                <w:b/>
                <w:color w:val="FFFFFF"/>
              </w:rPr>
              <w:t>Depreciation</w:t>
            </w:r>
          </w:p>
        </w:tc>
        <w:tc>
          <w:tcPr>
            <w:tcW w:type="dxa" w:w="1624"/>
            <w:shd w:val="clear" w:fill="1F3A5F"/>
          </w:tcPr>
          <w:p>
            <w:r>
              <w:rPr>
                <w:b/>
                <w:color w:val="FFFFFF"/>
              </w:rPr>
              <w:t>Interest</w:t>
            </w:r>
          </w:p>
        </w:tc>
      </w:tr>
      <w:tr>
        <w:tc>
          <w:tcPr>
            <w:tcW w:type="dxa" w:w="1624"/>
          </w:tcPr>
          <w:p>
            <w:r>
              <w:rPr>
                <w:b/>
              </w:rPr>
              <w:t>FY25</w:t>
            </w:r>
          </w:p>
        </w:tc>
        <w:tc>
          <w:tcPr>
            <w:tcW w:type="dxa" w:w="1624"/>
          </w:tcPr>
          <w:p>
            <w:r>
              <w:t>audited</w:t>
            </w:r>
          </w:p>
        </w:tc>
        <w:tc>
          <w:tcPr>
            <w:tcW w:type="dxa" w:w="1624"/>
          </w:tcPr>
          <w:p>
            <w:r>
              <w:t>21.80</w:t>
            </w:r>
          </w:p>
        </w:tc>
        <w:tc>
          <w:tcPr>
            <w:tcW w:type="dxa" w:w="1624"/>
          </w:tcPr>
          <w:p>
            <w:r>
              <w:t>1.00</w:t>
            </w:r>
          </w:p>
        </w:tc>
        <w:tc>
          <w:tcPr>
            <w:tcW w:type="dxa" w:w="1624"/>
          </w:tcPr>
          <w:p>
            <w:r>
              <w:t>0.40</w:t>
            </w:r>
          </w:p>
        </w:tc>
        <w:tc>
          <w:tcPr>
            <w:tcW w:type="dxa" w:w="1624"/>
          </w:tcPr>
          <w:p>
            <w:r>
              <w:t>0.36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color="C9D3DF"/>
          <w:left w:val="single" w:sz="4" w:color="C9D3DF"/>
          <w:bottom w:val="single" w:sz="4" w:color="C9D3DF"/>
          <w:right w:val="single" w:sz="4" w:color="C9D3DF"/>
          <w:insideH w:val="single" w:sz="4" w:color="C9D3DF"/>
          <w:insideV w:val="single" w:sz="4" w:color="C9D3DF"/>
        </w:tblBorders>
      </w:tblPr>
      <w:tblGrid>
        <w:gridCol w:w="4873"/>
        <w:gridCol w:w="4873"/>
      </w:tblGrid>
      <w:tr>
        <w:tc>
          <w:tcPr>
            <w:tcW w:type="dxa" w:w="5102"/>
            <w:shd w:val="clear" w:fill="1F3A5F"/>
          </w:tcPr>
          <w:p>
            <w:r>
              <w:rPr>
                <w:b/>
                <w:color w:val="FFFFFF"/>
              </w:rPr>
              <w:t>Ratio</w:t>
            </w:r>
          </w:p>
        </w:tc>
        <w:tc>
          <w:tcPr>
            <w:tcW w:type="dxa" w:w="3969"/>
            <w:shd w:val="clear" w:fill="1F3A5F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5102"/>
          </w:tcPr>
          <w:p>
            <w:r>
              <w:rPr>
                <w:b/>
              </w:rPr>
              <w:t>DSCR</w:t>
            </w:r>
          </w:p>
        </w:tc>
        <w:tc>
          <w:tcPr>
            <w:tcW w:type="dxa" w:w="3969"/>
          </w:tcPr>
          <w:p>
            <w:r>
              <w:t>1.76</w:t>
            </w:r>
          </w:p>
        </w:tc>
      </w:tr>
      <w:tr>
        <w:tc>
          <w:tcPr>
            <w:tcW w:type="dxa" w:w="5102"/>
          </w:tcPr>
          <w:p>
            <w:r>
              <w:rPr>
                <w:b/>
              </w:rPr>
              <w:t>Loan-to-value</w:t>
            </w:r>
          </w:p>
        </w:tc>
        <w:tc>
          <w:tcPr>
            <w:tcW w:type="dxa" w:w="3969"/>
          </w:tcPr>
          <w:p>
            <w:r>
              <w:t>25.0%</w:t>
            </w:r>
          </w:p>
        </w:tc>
      </w:tr>
      <w:tr>
        <w:tc>
          <w:tcPr>
            <w:tcW w:type="dxa" w:w="5102"/>
          </w:tcPr>
          <w:p>
            <w:r>
              <w:rPr>
                <w:b/>
              </w:rPr>
              <w:t>Debt / equity</w:t>
            </w:r>
          </w:p>
        </w:tc>
        <w:tc>
          <w:tcPr>
            <w:tcW w:type="dxa" w:w="3969"/>
          </w:tcPr>
          <w:p>
            <w:r>
              <w:t>0.88</w:t>
            </w:r>
          </w:p>
        </w:tc>
      </w:tr>
      <w:tr>
        <w:tc>
          <w:tcPr>
            <w:tcW w:type="dxa" w:w="5102"/>
          </w:tcPr>
          <w:p>
            <w:r>
              <w:rPr>
                <w:b/>
              </w:rPr>
              <w:t>Current ratio</w:t>
            </w:r>
          </w:p>
        </w:tc>
        <w:tc>
          <w:tcPr>
            <w:tcW w:type="dxa" w:w="3969"/>
          </w:tcPr>
          <w:p>
            <w:r>
              <w:t>1.50</w:t>
            </w:r>
          </w:p>
        </w:tc>
      </w:tr>
      <w:tr>
        <w:tc>
          <w:tcPr>
            <w:tcW w:type="dxa" w:w="5102"/>
          </w:tcPr>
          <w:p>
            <w:r>
              <w:rPr>
                <w:b/>
              </w:rPr>
              <w:t>GST turnover vs bank credits gap</w:t>
            </w:r>
          </w:p>
        </w:tc>
        <w:tc>
          <w:tcPr>
            <w:tcW w:type="dxa" w:w="3969"/>
          </w:tcPr>
          <w:p>
            <w:r>
              <w:t>4.1%</w:t>
            </w:r>
          </w:p>
        </w:tc>
      </w:tr>
      <w:tr>
        <w:tc>
          <w:tcPr>
            <w:tcW w:type="dxa" w:w="5102"/>
          </w:tcPr>
          <w:p>
            <w:r>
              <w:rPr>
                <w:b/>
              </w:rPr>
              <w:t>Annual cash accrual (₹ Cr)</w:t>
            </w:r>
          </w:p>
        </w:tc>
        <w:tc>
          <w:tcPr>
            <w:tcW w:type="dxa" w:w="3969"/>
          </w:tcPr>
          <w:p>
            <w:r>
              <w:t>1.76</w:t>
            </w:r>
          </w:p>
        </w:tc>
      </w:tr>
      <w:tr>
        <w:tc>
          <w:tcPr>
            <w:tcW w:type="dxa" w:w="5102"/>
          </w:tcPr>
          <w:p>
            <w:r>
              <w:rPr>
                <w:b/>
              </w:rPr>
              <w:t>Annual debt service incl. new loan (₹ Cr)</w:t>
            </w:r>
          </w:p>
        </w:tc>
        <w:tc>
          <w:tcPr>
            <w:tcW w:type="dxa" w:w="3969"/>
          </w:tcPr>
          <w:p>
            <w:r>
              <w:t>1.00</w:t>
            </w:r>
          </w:p>
        </w:tc>
      </w:tr>
    </w:tbl>
    <w:p/>
    <w:p>
      <w:r>
        <w:rPr>
          <w:i/>
          <w:color w:val="666666"/>
          <w:sz w:val="18"/>
        </w:rPr>
        <w:t>All amounts in ₹ crore. Ratios are computed in code, not by the language model.</w:t>
      </w:r>
    </w:p>
    <w:p>
      <w:pPr>
        <w:pStyle w:val="Heading2"/>
      </w:pPr>
      <w:r>
        <w:t>3. Risk Assessment</w:t>
      </w:r>
    </w:p>
    <w:p>
      <w:pPr>
        <w:spacing w:after="120"/>
      </w:pPr>
      <w:r>
        <w:rPr>
          <w:b w:val="0"/>
        </w:rPr>
        <w:t xml:space="preserve">The borrower meets all quantitative policy checks. </w:t>
      </w:r>
      <w:r>
        <w:rPr>
          <w:b/>
        </w:rPr>
        <w:t>DSCR 1.76</w:t>
      </w:r>
      <w:r>
        <w:rPr>
          <w:b w:val="0"/>
        </w:rPr>
        <w:t xml:space="preserve">, </w:t>
      </w:r>
      <w:r>
        <w:rPr>
          <w:b/>
        </w:rPr>
        <w:t>Loan‑to‑value 25.0%</w:t>
      </w:r>
      <w:r>
        <w:rPr>
          <w:b w:val="0"/>
        </w:rPr>
        <w:t xml:space="preserve">, and </w:t>
      </w:r>
      <w:r>
        <w:rPr>
          <w:b/>
        </w:rPr>
        <w:t>Debt/Equity 0.88</w:t>
      </w:r>
      <w:r>
        <w:rPr>
          <w:b w:val="0"/>
        </w:rPr>
        <w:t xml:space="preserve"> are comfortably within required limits, and the </w:t>
      </w:r>
      <w:r>
        <w:rPr>
          <w:b/>
        </w:rPr>
        <w:t>Current ratio 1.5</w:t>
      </w:r>
      <w:r>
        <w:rPr>
          <w:b w:val="0"/>
        </w:rPr>
        <w:t xml:space="preserve"> exceeds the 1.2 threshold. GST compliance is strong with 12 of 12 filings on time and a GST‑vs‑bank‑credits gap of 4.1%, well below the 10% ceiling. The proposed loan of </w:t>
      </w:r>
      <w:r>
        <w:rPr>
          <w:b/>
        </w:rPr>
        <w:t>₹1.0 Cr</w:t>
      </w:r>
      <w:r>
        <w:rPr>
          <w:b w:val="0"/>
        </w:rPr>
        <w:t xml:space="preserve"> satisfies the ≤ ₹10 Cr limit.</w:t>
      </w:r>
    </w:p>
    <w:p>
      <w:pPr>
        <w:pStyle w:val="ListBullet"/>
      </w:pPr>
      <w:r>
        <w:rPr>
          <w:b w:val="0"/>
        </w:rPr>
        <w:t>No bounced cheques in the past 12 months.</w:t>
      </w:r>
    </w:p>
    <w:p>
      <w:pPr>
        <w:pStyle w:val="ListBullet"/>
      </w:pPr>
      <w:r>
        <w:rPr>
          <w:b w:val="0"/>
        </w:rPr>
        <w:t>Bank credits over 12 months total ₹21.1 Cr with an average balance of ₹0.78 Cr, indicating stable banking relationships.</w:t>
      </w:r>
    </w:p>
    <w:p>
      <w:pPr>
        <w:pStyle w:val="ListBullet"/>
      </w:pPr>
      <w:r>
        <w:rPr>
          <w:b w:val="0"/>
        </w:rPr>
        <w:t>A single system flag notes a prior validation error for the loan amount input; the issue was corrected and does not affect financial metrics.</w:t>
      </w:r>
    </w:p>
    <w:p>
      <w:pPr>
        <w:spacing w:after="120"/>
      </w:pPr>
      <w:r>
        <w:rPr>
          <w:b w:val="0"/>
        </w:rPr>
        <w:t>Overall, the risk profile is low based on the documented ratios and compliance history.</w:t>
      </w:r>
    </w:p>
    <w:p>
      <w:pPr>
        <w:pStyle w:val="Heading2"/>
      </w:pPr>
      <w:r>
        <w:t>4. Policy Compliance</w:t>
      </w:r>
    </w:p>
    <w:p>
      <w:pPr>
        <w:spacing w:after="120"/>
      </w:pPr>
      <w:r>
        <w:rPr>
          <w:b w:val="0"/>
        </w:rPr>
        <w:t>The loan meets all applicable policy thresholds.</w:t>
      </w:r>
    </w:p>
    <w:p>
      <w:pPr>
        <w:spacing w:after="120"/>
      </w:pPr>
      <w:r>
        <w:rPr>
          <w:b/>
        </w:rPr>
        <w:t>DSCR:</w:t>
      </w:r>
      <w:r>
        <w:rPr>
          <w:b w:val="0"/>
        </w:rPr>
        <w:t xml:space="preserve"> 1.76 ≥ 1.25 – PASS</w:t>
      </w:r>
    </w:p>
    <w:p>
      <w:pPr>
        <w:spacing w:after="120"/>
      </w:pPr>
      <w:r>
        <w:rPr>
          <w:b/>
        </w:rPr>
        <w:t>Loan‑to‑value:</w:t>
      </w:r>
      <w:r>
        <w:rPr>
          <w:b w:val="0"/>
        </w:rPr>
        <w:t xml:space="preserve"> 25.0 % ≤ 70 % – PASS</w:t>
      </w:r>
    </w:p>
    <w:p>
      <w:pPr>
        <w:spacing w:after="120"/>
      </w:pPr>
      <w:r>
        <w:rPr>
          <w:b/>
        </w:rPr>
        <w:t>Debt/equity:</w:t>
      </w:r>
      <w:r>
        <w:rPr>
          <w:b w:val="0"/>
        </w:rPr>
        <w:t xml:space="preserve"> 0.88 ≤ 2.0 – PASS</w:t>
      </w:r>
    </w:p>
    <w:p>
      <w:pPr>
        <w:spacing w:after="120"/>
      </w:pPr>
      <w:r>
        <w:rPr>
          <w:b w:val="0"/>
        </w:rPr>
        <w:t xml:space="preserve">The current ratio of </w:t>
      </w:r>
      <w:r>
        <w:rPr>
          <w:b/>
        </w:rPr>
        <w:t>1.5</w:t>
      </w:r>
      <w:r>
        <w:rPr>
          <w:b w:val="0"/>
        </w:rPr>
        <w:t xml:space="preserve"> satisfies the ≥ 1.2 requirement. The GST versus bank credits gap stands at </w:t>
      </w:r>
      <w:r>
        <w:rPr>
          <w:b/>
        </w:rPr>
        <w:t>4.1 %</w:t>
      </w:r>
      <w:r>
        <w:rPr>
          <w:b w:val="0"/>
        </w:rPr>
        <w:t xml:space="preserve">, within the ≤ 10 % limit. The requested amount of </w:t>
      </w:r>
      <w:r>
        <w:rPr>
          <w:b/>
        </w:rPr>
        <w:t>₹1.0 Cr</w:t>
      </w:r>
      <w:r>
        <w:rPr>
          <w:b w:val="0"/>
        </w:rPr>
        <w:t xml:space="preserve"> is below the ≤ ₹10 Cr ceiling.</w:t>
      </w:r>
    </w:p>
    <w:p>
      <w:pPr>
        <w:pStyle w:val="ListBullet"/>
      </w:pPr>
      <w:r>
        <w:rPr>
          <w:b w:val="0"/>
        </w:rPr>
        <w:t>No policy breaches identified.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color="C9D3DF"/>
          <w:left w:val="single" w:sz="4" w:color="C9D3DF"/>
          <w:bottom w:val="single" w:sz="4" w:color="C9D3DF"/>
          <w:right w:val="single" w:sz="4" w:color="C9D3DF"/>
          <w:insideH w:val="single" w:sz="4" w:color="C9D3DF"/>
          <w:insideV w:val="single" w:sz="4" w:color="C9D3D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1F3A5F"/>
          </w:tcPr>
          <w:p>
            <w:r>
              <w:rPr>
                <w:b/>
                <w:color w:val="FFFFFF"/>
              </w:rPr>
              <w:t>Rule</w:t>
            </w:r>
          </w:p>
        </w:tc>
        <w:tc>
          <w:tcPr>
            <w:tcW w:type="dxa" w:w="2436"/>
            <w:shd w:val="clear" w:fill="1F3A5F"/>
          </w:tcPr>
          <w:p>
            <w:r>
              <w:rPr>
                <w:b/>
                <w:color w:val="FFFFFF"/>
              </w:rPr>
              <w:t>Required</w:t>
            </w:r>
          </w:p>
        </w:tc>
        <w:tc>
          <w:tcPr>
            <w:tcW w:type="dxa" w:w="2436"/>
            <w:shd w:val="clear" w:fill="1F3A5F"/>
          </w:tcPr>
          <w:p>
            <w:r>
              <w:rPr>
                <w:b/>
                <w:color w:val="FFFFFF"/>
              </w:rPr>
              <w:t>Actual</w:t>
            </w:r>
          </w:p>
        </w:tc>
        <w:tc>
          <w:tcPr>
            <w:tcW w:type="dxa" w:w="2436"/>
            <w:shd w:val="clear" w:fill="1F3A5F"/>
          </w:tcPr>
          <w:p>
            <w:r>
              <w:rPr>
                <w:b/>
                <w:color w:val="FFFFFF"/>
              </w:rPr>
              <w:t>Result</w:t>
            </w:r>
          </w:p>
        </w:tc>
      </w:tr>
      <w:tr>
        <w:tc>
          <w:tcPr>
            <w:tcW w:type="dxa" w:w="2436"/>
          </w:tcPr>
          <w:p>
            <w:r>
              <w:rPr>
                <w:b/>
              </w:rPr>
              <w:t>DSCR</w:t>
            </w:r>
          </w:p>
        </w:tc>
        <w:tc>
          <w:tcPr>
            <w:tcW w:type="dxa" w:w="2436"/>
          </w:tcPr>
          <w:p>
            <w:r>
              <w:t>&gt;= 1.25</w:t>
            </w:r>
          </w:p>
        </w:tc>
        <w:tc>
          <w:tcPr>
            <w:tcW w:type="dxa" w:w="2436"/>
          </w:tcPr>
          <w:p>
            <w:r>
              <w:t>1.76</w:t>
            </w:r>
          </w:p>
        </w:tc>
        <w:tc>
          <w:tcPr>
            <w:tcW w:type="dxa" w:w="2436"/>
          </w:tcPr>
          <w:p>
            <w:r>
              <w:rPr>
                <w:b/>
                <w:color w:val="1E7B34"/>
              </w:rPr>
              <w:t>PASS</w:t>
            </w:r>
          </w:p>
        </w:tc>
      </w:tr>
      <w:tr>
        <w:tc>
          <w:tcPr>
            <w:tcW w:type="dxa" w:w="2436"/>
          </w:tcPr>
          <w:p>
            <w:r>
              <w:rPr>
                <w:b/>
              </w:rPr>
              <w:t>Loan-to-value</w:t>
            </w:r>
          </w:p>
        </w:tc>
        <w:tc>
          <w:tcPr>
            <w:tcW w:type="dxa" w:w="2436"/>
          </w:tcPr>
          <w:p>
            <w:r>
              <w:t>&lt;= 70%</w:t>
            </w:r>
          </w:p>
        </w:tc>
        <w:tc>
          <w:tcPr>
            <w:tcW w:type="dxa" w:w="2436"/>
          </w:tcPr>
          <w:p>
            <w:r>
              <w:t>25.0%</w:t>
            </w:r>
          </w:p>
        </w:tc>
        <w:tc>
          <w:tcPr>
            <w:tcW w:type="dxa" w:w="2436"/>
          </w:tcPr>
          <w:p>
            <w:r>
              <w:rPr>
                <w:b/>
                <w:color w:val="1E7B34"/>
              </w:rPr>
              <w:t>PASS</w:t>
            </w:r>
          </w:p>
        </w:tc>
      </w:tr>
      <w:tr>
        <w:tc>
          <w:tcPr>
            <w:tcW w:type="dxa" w:w="2436"/>
          </w:tcPr>
          <w:p>
            <w:r>
              <w:rPr>
                <w:b/>
              </w:rPr>
              <w:t>Debt/equity</w:t>
            </w:r>
          </w:p>
        </w:tc>
        <w:tc>
          <w:tcPr>
            <w:tcW w:type="dxa" w:w="2436"/>
          </w:tcPr>
          <w:p>
            <w:r>
              <w:t>&lt;= 2.0</w:t>
            </w:r>
          </w:p>
        </w:tc>
        <w:tc>
          <w:tcPr>
            <w:tcW w:type="dxa" w:w="2436"/>
          </w:tcPr>
          <w:p>
            <w:r>
              <w:t>0.88</w:t>
            </w:r>
          </w:p>
        </w:tc>
        <w:tc>
          <w:tcPr>
            <w:tcW w:type="dxa" w:w="2436"/>
          </w:tcPr>
          <w:p>
            <w:r>
              <w:rPr>
                <w:b/>
                <w:color w:val="1E7B34"/>
              </w:rPr>
              <w:t>PASS</w:t>
            </w:r>
          </w:p>
        </w:tc>
      </w:tr>
      <w:tr>
        <w:tc>
          <w:tcPr>
            <w:tcW w:type="dxa" w:w="2436"/>
          </w:tcPr>
          <w:p>
            <w:r>
              <w:rPr>
                <w:b/>
              </w:rPr>
              <w:t>Current ratio</w:t>
            </w:r>
          </w:p>
        </w:tc>
        <w:tc>
          <w:tcPr>
            <w:tcW w:type="dxa" w:w="2436"/>
          </w:tcPr>
          <w:p>
            <w:r>
              <w:t>&gt;= 1.2</w:t>
            </w:r>
          </w:p>
        </w:tc>
        <w:tc>
          <w:tcPr>
            <w:tcW w:type="dxa" w:w="2436"/>
          </w:tcPr>
          <w:p>
            <w:r>
              <w:t>1.5</w:t>
            </w:r>
          </w:p>
        </w:tc>
        <w:tc>
          <w:tcPr>
            <w:tcW w:type="dxa" w:w="2436"/>
          </w:tcPr>
          <w:p>
            <w:r>
              <w:rPr>
                <w:b/>
                <w:color w:val="1E7B34"/>
              </w:rPr>
              <w:t>PASS</w:t>
            </w:r>
          </w:p>
        </w:tc>
      </w:tr>
      <w:tr>
        <w:tc>
          <w:tcPr>
            <w:tcW w:type="dxa" w:w="2436"/>
          </w:tcPr>
          <w:p>
            <w:r>
              <w:rPr>
                <w:b/>
              </w:rPr>
              <w:t>GST vs bank credits gap</w:t>
            </w:r>
          </w:p>
        </w:tc>
        <w:tc>
          <w:tcPr>
            <w:tcW w:type="dxa" w:w="2436"/>
          </w:tcPr>
          <w:p>
            <w:r>
              <w:t>&lt;= 10%</w:t>
            </w:r>
          </w:p>
        </w:tc>
        <w:tc>
          <w:tcPr>
            <w:tcW w:type="dxa" w:w="2436"/>
          </w:tcPr>
          <w:p>
            <w:r>
              <w:t>4.1%</w:t>
            </w:r>
          </w:p>
        </w:tc>
        <w:tc>
          <w:tcPr>
            <w:tcW w:type="dxa" w:w="2436"/>
          </w:tcPr>
          <w:p>
            <w:r>
              <w:rPr>
                <w:b/>
                <w:color w:val="1E7B34"/>
              </w:rPr>
              <w:t>PASS</w:t>
            </w:r>
          </w:p>
        </w:tc>
      </w:tr>
      <w:tr>
        <w:tc>
          <w:tcPr>
            <w:tcW w:type="dxa" w:w="2436"/>
          </w:tcPr>
          <w:p>
            <w:r>
              <w:rPr>
                <w:b/>
              </w:rPr>
              <w:t>Loan amount</w:t>
            </w:r>
          </w:p>
        </w:tc>
        <w:tc>
          <w:tcPr>
            <w:tcW w:type="dxa" w:w="2436"/>
          </w:tcPr>
          <w:p>
            <w:r>
              <w:t>&lt;= ₹10 Cr</w:t>
            </w:r>
          </w:p>
        </w:tc>
        <w:tc>
          <w:tcPr>
            <w:tcW w:type="dxa" w:w="2436"/>
          </w:tcPr>
          <w:p>
            <w:r>
              <w:t>₹1.0 Cr</w:t>
            </w:r>
          </w:p>
        </w:tc>
        <w:tc>
          <w:tcPr>
            <w:tcW w:type="dxa" w:w="2436"/>
          </w:tcPr>
          <w:p>
            <w:r>
              <w:rPr>
                <w:b/>
                <w:color w:val="1E7B34"/>
              </w:rPr>
              <w:t>PASS</w:t>
            </w:r>
          </w:p>
        </w:tc>
      </w:tr>
    </w:tbl>
    <w:p/>
    <w:p>
      <w:pPr>
        <w:pStyle w:val="Heading2"/>
      </w:pPr>
      <w:r>
        <w:t>5. Recommendation</w:t>
      </w:r>
    </w:p>
    <w:p>
      <w:pPr>
        <w:spacing w:after="120"/>
      </w:pPr>
      <w:r>
        <w:rPr>
          <w:b/>
        </w:rPr>
        <w:t>Decision: null</w:t>
      </w:r>
      <w:r>
        <w:rPr>
          <w:b w:val="0"/>
        </w:rPr>
        <w:t xml:space="preserve"> – The request lacks a definitive decision due to insufficient information.</w:t>
      </w:r>
    </w:p>
    <w:p>
      <w:pPr>
        <w:pStyle w:val="ListBullet"/>
      </w:pPr>
      <w:r>
        <w:rPr>
          <w:b w:val="0"/>
        </w:rPr>
        <w:t xml:space="preserve">The loan amount is assumed at </w:t>
      </w:r>
      <w:r>
        <w:rPr>
          <w:b/>
        </w:rPr>
        <w:t>₹1.0 Cr</w:t>
      </w:r>
      <w:r>
        <w:rPr>
          <w:b w:val="0"/>
        </w:rPr>
        <w:t xml:space="preserve"> for working capital.</w:t>
      </w:r>
    </w:p>
    <w:p>
      <w:pPr>
        <w:pStyle w:val="ListBullet"/>
      </w:pPr>
      <w:r>
        <w:rPr>
          <w:b w:val="0"/>
        </w:rPr>
        <w:t>The plan was rejected by the validator for an input error (“loan_amount_cr: Input should be greater than 0”).</w:t>
      </w:r>
    </w:p>
    <w:p>
      <w:pPr>
        <w:pStyle w:val="ListBullet"/>
      </w:pPr>
      <w:r>
        <w:rPr>
          <w:b w:val="0"/>
        </w:rPr>
        <w:t>No further conditions can be set until the request is clarified and a valid loan amount is provided.</w:t>
      </w:r>
    </w:p>
    <w:p>
      <w:pPr>
        <w:pStyle w:val="Heading2"/>
      </w:pPr>
      <w:r>
        <w:t>Agent self-check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color="C9D3DF"/>
          <w:left w:val="single" w:sz="4" w:color="C9D3DF"/>
          <w:bottom w:val="single" w:sz="4" w:color="C9D3DF"/>
          <w:right w:val="single" w:sz="4" w:color="C9D3DF"/>
          <w:insideH w:val="single" w:sz="4" w:color="C9D3DF"/>
          <w:insideV w:val="single" w:sz="4" w:color="C9D3DF"/>
        </w:tblBorders>
      </w:tblPr>
      <w:tblGrid>
        <w:gridCol w:w="4873"/>
        <w:gridCol w:w="4873"/>
      </w:tblGrid>
      <w:tr>
        <w:tc>
          <w:tcPr>
            <w:tcW w:type="dxa" w:w="5102"/>
            <w:shd w:val="clear" w:fill="1F3A5F"/>
          </w:tcPr>
          <w:p>
            <w:r>
              <w:rPr>
                <w:b/>
                <w:color w:val="FFFFFF"/>
              </w:rPr>
              <w:t>Check</w:t>
            </w:r>
          </w:p>
        </w:tc>
        <w:tc>
          <w:tcPr>
            <w:tcW w:type="dxa" w:w="3969"/>
            <w:shd w:val="clear" w:fill="1F3A5F"/>
          </w:tcPr>
          <w:p>
            <w:r>
              <w:rPr>
                <w:b/>
                <w:color w:val="FFFFFF"/>
              </w:rPr>
              <w:t>Result</w:t>
            </w:r>
          </w:p>
        </w:tc>
      </w:tr>
      <w:tr>
        <w:tc>
          <w:tcPr>
            <w:tcW w:type="dxa" w:w="5102"/>
          </w:tcPr>
          <w:p>
            <w:r>
              <w:rPr>
                <w:b/>
              </w:rPr>
              <w:t>Sections written</w:t>
            </w:r>
          </w:p>
        </w:tc>
        <w:tc>
          <w:tcPr>
            <w:tcW w:type="dxa" w:w="3969"/>
          </w:tcPr>
          <w:p>
            <w:r>
              <w:t>5/5</w:t>
            </w:r>
          </w:p>
        </w:tc>
      </w:tr>
      <w:tr>
        <w:tc>
          <w:tcPr>
            <w:tcW w:type="dxa" w:w="5102"/>
          </w:tcPr>
          <w:p>
            <w:r>
              <w:rPr>
                <w:b/>
              </w:rPr>
              <w:t>Ratios computed</w:t>
            </w:r>
          </w:p>
        </w:tc>
        <w:tc>
          <w:tcPr>
            <w:tcW w:type="dxa" w:w="3969"/>
          </w:tcPr>
          <w:p>
            <w:r>
              <w:t>yes</w:t>
            </w:r>
          </w:p>
        </w:tc>
      </w:tr>
      <w:tr>
        <w:tc>
          <w:tcPr>
            <w:tcW w:type="dxa" w:w="5102"/>
          </w:tcPr>
          <w:p>
            <w:r>
              <w:rPr>
                <w:b/>
              </w:rPr>
              <w:t>Policy rules tested</w:t>
            </w:r>
          </w:p>
        </w:tc>
        <w:tc>
          <w:tcPr>
            <w:tcW w:type="dxa" w:w="3969"/>
          </w:tcPr>
          <w:p>
            <w:r>
              <w:t>6 (6 pass, 0 fail)</w:t>
            </w:r>
          </w:p>
        </w:tc>
      </w:tr>
      <w:tr>
        <w:tc>
          <w:tcPr>
            <w:tcW w:type="dxa" w:w="5102"/>
          </w:tcPr>
          <w:p>
            <w:r>
              <w:rPr>
                <w:b/>
              </w:rPr>
              <w:t>Figures checked against source data</w:t>
            </w:r>
          </w:p>
        </w:tc>
        <w:tc>
          <w:tcPr>
            <w:tcW w:type="dxa" w:w="3969"/>
          </w:tcPr>
          <w:p>
            <w:r>
              <w:t>all grounded</w:t>
            </w:r>
          </w:p>
        </w:tc>
      </w:tr>
      <w:tr>
        <w:tc>
          <w:tcPr>
            <w:tcW w:type="dxa" w:w="5102"/>
          </w:tcPr>
          <w:p>
            <w:r>
              <w:rPr>
                <w:b/>
              </w:rPr>
              <w:t>Repairs made by the agent</w:t>
            </w:r>
          </w:p>
        </w:tc>
        <w:tc>
          <w:tcPr>
            <w:tcW w:type="dxa" w:w="3969"/>
          </w:tcPr>
          <w:p>
            <w:r>
              <w:t>1</w:t>
            </w:r>
          </w:p>
        </w:tc>
      </w:tr>
    </w:tbl>
    <w:p/>
    <w:p>
      <w:pPr>
        <w:pStyle w:val="Heading2"/>
      </w:pPr>
      <w:r>
        <w:t>Credit officer sign-off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color="C9D3DF"/>
          <w:left w:val="single" w:sz="4" w:color="C9D3DF"/>
          <w:bottom w:val="single" w:sz="4" w:color="C9D3DF"/>
          <w:right w:val="single" w:sz="4" w:color="C9D3DF"/>
          <w:insideH w:val="single" w:sz="4" w:color="C9D3DF"/>
          <w:insideV w:val="single" w:sz="4" w:color="C9D3DF"/>
        </w:tblBorders>
      </w:tblPr>
      <w:tblGrid>
        <w:gridCol w:w="4873"/>
        <w:gridCol w:w="4873"/>
      </w:tblGrid>
      <w:tr>
        <w:tc>
          <w:tcPr>
            <w:tcW w:type="dxa" w:w="3969"/>
            <w:shd w:val="clear" w:fill="1F3A5F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5102"/>
            <w:shd w:val="clear" w:fill="1F3A5F"/>
          </w:tcPr>
          <w:p>
            <w:r>
              <w:rPr>
                <w:b/>
                <w:color w:val="FFFFFF"/>
              </w:rPr>
              <w:t>Entry</w:t>
            </w:r>
          </w:p>
        </w:tc>
      </w:tr>
      <w:tr>
        <w:tc>
          <w:tcPr>
            <w:tcW w:type="dxa" w:w="3969"/>
          </w:tcPr>
          <w:p>
            <w:r>
              <w:rPr>
                <w:b/>
              </w:rPr>
              <w:t>Name</w:t>
            </w:r>
          </w:p>
        </w:tc>
        <w:tc>
          <w:tcPr>
            <w:tcW w:type="dxa" w:w="5102"/>
          </w:tcPr>
          <w:p>
            <w:r/>
          </w:p>
        </w:tc>
      </w:tr>
      <w:tr>
        <w:tc>
          <w:tcPr>
            <w:tcW w:type="dxa" w:w="3969"/>
          </w:tcPr>
          <w:p>
            <w:r>
              <w:rPr>
                <w:b/>
              </w:rPr>
              <w:t>Decision (approve / reject / refer)</w:t>
            </w:r>
          </w:p>
        </w:tc>
        <w:tc>
          <w:tcPr>
            <w:tcW w:type="dxa" w:w="5102"/>
          </w:tcPr>
          <w:p>
            <w:r/>
          </w:p>
        </w:tc>
      </w:tr>
      <w:tr>
        <w:tc>
          <w:tcPr>
            <w:tcW w:type="dxa" w:w="3969"/>
          </w:tcPr>
          <w:p>
            <w:r>
              <w:rPr>
                <w:b/>
              </w:rPr>
              <w:t>Conditions</w:t>
            </w:r>
          </w:p>
        </w:tc>
        <w:tc>
          <w:tcPr>
            <w:tcW w:type="dxa" w:w="5102"/>
          </w:tcPr>
          <w:p>
            <w:r/>
          </w:p>
        </w:tc>
      </w:tr>
      <w:tr>
        <w:tc>
          <w:tcPr>
            <w:tcW w:type="dxa" w:w="3969"/>
          </w:tcPr>
          <w:p>
            <w:r>
              <w:rPr>
                <w:b/>
              </w:rPr>
              <w:t>Signature and date</w:t>
            </w:r>
          </w:p>
        </w:tc>
        <w:tc>
          <w:tcPr>
            <w:tcW w:type="dxa" w:w="5102"/>
          </w:tcPr>
          <w:p>
            <w:r/>
          </w:p>
        </w:tc>
      </w:tr>
    </w:tbl>
    <w:p/>
    <w:p>
      <w:r>
        <w:br w:type="page"/>
      </w:r>
    </w:p>
    <w:p>
      <w:pPr>
        <w:pStyle w:val="Heading2"/>
      </w:pPr>
      <w:r>
        <w:t>Appendix: agent audit trail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color="C9D3DF"/>
          <w:left w:val="single" w:sz="4" w:color="C9D3DF"/>
          <w:bottom w:val="single" w:sz="4" w:color="C9D3DF"/>
          <w:right w:val="single" w:sz="4" w:color="C9D3DF"/>
          <w:insideH w:val="single" w:sz="4" w:color="C9D3DF"/>
          <w:insideV w:val="single" w:sz="4" w:color="C9D3DF"/>
        </w:tblBorders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454"/>
            <w:shd w:val="clear" w:fill="1F3A5F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041"/>
            <w:shd w:val="clear" w:fill="1F3A5F"/>
          </w:tcPr>
          <w:p>
            <w:r>
              <w:rPr>
                <w:b/>
                <w:color w:val="FFFFFF"/>
              </w:rPr>
              <w:t>Step</w:t>
            </w:r>
          </w:p>
        </w:tc>
        <w:tc>
          <w:tcPr>
            <w:tcW w:type="dxa" w:w="737"/>
            <w:shd w:val="clear" w:fill="1F3A5F"/>
          </w:tcPr>
          <w:p>
            <w:r>
              <w:rPr>
                <w:b/>
                <w:color w:val="FFFFFF"/>
              </w:rPr>
              <w:t>By</w:t>
            </w:r>
          </w:p>
        </w:tc>
        <w:tc>
          <w:tcPr>
            <w:tcW w:type="dxa" w:w="794"/>
            <w:shd w:val="clear" w:fill="1F3A5F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762"/>
            <w:shd w:val="clear" w:fill="1F3A5F"/>
          </w:tcPr>
          <w:p>
            <w:r>
              <w:rPr>
                <w:b/>
                <w:color w:val="FFFFFF"/>
              </w:rPr>
              <w:t>Result</w:t>
            </w:r>
          </w:p>
        </w:tc>
        <w:tc>
          <w:tcPr>
            <w:tcW w:type="dxa" w:w="680"/>
            <w:shd w:val="clear" w:fill="1F3A5F"/>
          </w:tcPr>
          <w:p>
            <w:r>
              <w:rPr>
                <w:b/>
                <w:color w:val="FFFFFF"/>
              </w:rPr>
              <w:t>ms</w:t>
            </w:r>
          </w:p>
        </w:tc>
      </w:tr>
      <w:tr>
        <w:tc>
          <w:tcPr>
            <w:tcW w:type="dxa" w:w="454"/>
          </w:tcPr>
          <w:p>
            <w:r/>
          </w:p>
        </w:tc>
        <w:tc>
          <w:tcPr>
            <w:tcW w:type="dxa" w:w="2041"/>
          </w:tcPr>
          <w:p>
            <w:r>
              <w:t>plan</w:t>
            </w:r>
          </w:p>
        </w:tc>
        <w:tc>
          <w:tcPr>
            <w:tcW w:type="dxa" w:w="737"/>
          </w:tcPr>
          <w:p>
            <w:r>
              <w:t>LLM</w:t>
            </w:r>
          </w:p>
        </w:tc>
        <w:tc>
          <w:tcPr>
            <w:tcW w:type="dxa" w:w="794"/>
          </w:tcPr>
          <w:p>
            <w:r>
              <w:t>done</w:t>
            </w:r>
          </w:p>
        </w:tc>
        <w:tc>
          <w:tcPr>
            <w:tcW w:type="dxa" w:w="4762"/>
          </w:tcPr>
          <w:p>
            <w:r>
              <w:t>plan drafted</w:t>
            </w:r>
          </w:p>
        </w:tc>
        <w:tc>
          <w:tcPr>
            <w:tcW w:type="dxa" w:w="680"/>
          </w:tcPr>
          <w:p>
            <w:r>
              <w:t>9178</w:t>
            </w:r>
          </w:p>
        </w:tc>
      </w:tr>
      <w:tr>
        <w:tc>
          <w:tcPr>
            <w:tcW w:type="dxa" w:w="454"/>
          </w:tcPr>
          <w:p>
            <w:r/>
          </w:p>
        </w:tc>
        <w:tc>
          <w:tcPr>
            <w:tcW w:type="dxa" w:w="2041"/>
          </w:tcPr>
          <w:p>
            <w:r>
              <w:t>plan</w:t>
            </w:r>
          </w:p>
        </w:tc>
        <w:tc>
          <w:tcPr>
            <w:tcW w:type="dxa" w:w="737"/>
          </w:tcPr>
          <w:p>
            <w:r>
              <w:t>LLM</w:t>
            </w:r>
          </w:p>
        </w:tc>
        <w:tc>
          <w:tcPr>
            <w:tcW w:type="dxa" w:w="794"/>
          </w:tcPr>
          <w:p>
            <w:r>
              <w:t>done</w:t>
            </w:r>
          </w:p>
        </w:tc>
        <w:tc>
          <w:tcPr>
            <w:tcW w:type="dxa" w:w="4762"/>
          </w:tcPr>
          <w:p>
            <w:r>
              <w:t>plan drafted</w:t>
            </w:r>
          </w:p>
        </w:tc>
        <w:tc>
          <w:tcPr>
            <w:tcW w:type="dxa" w:w="680"/>
          </w:tcPr>
          <w:p>
            <w:r>
              <w:t>5768</w:t>
            </w:r>
          </w:p>
        </w:tc>
      </w:tr>
      <w:tr>
        <w:tc>
          <w:tcPr>
            <w:tcW w:type="dxa" w:w="454"/>
          </w:tcPr>
          <w:p>
            <w:r/>
          </w:p>
        </w:tc>
        <w:tc>
          <w:tcPr>
            <w:tcW w:type="dxa" w:w="2041"/>
          </w:tcPr>
          <w:p>
            <w:r>
              <w:t>validate_plan</w:t>
            </w:r>
          </w:p>
        </w:tc>
        <w:tc>
          <w:tcPr>
            <w:tcW w:type="dxa" w:w="737"/>
          </w:tcPr>
          <w:p>
            <w:r>
              <w:t>CODE</w:t>
            </w:r>
          </w:p>
        </w:tc>
        <w:tc>
          <w:tcPr>
            <w:tcW w:type="dxa" w:w="794"/>
          </w:tcPr>
          <w:p>
            <w:r>
              <w:t>done</w:t>
            </w:r>
          </w:p>
        </w:tc>
        <w:tc>
          <w:tcPr>
            <w:tcW w:type="dxa" w:w="4762"/>
          </w:tcPr>
          <w:p>
            <w:r>
              <w:t>valid: 6 tasks, 2 assumptions</w:t>
            </w:r>
          </w:p>
        </w:tc>
        <w:tc>
          <w:tcPr>
            <w:tcW w:type="dxa" w:w="680"/>
          </w:tcPr>
          <w:p>
            <w:r>
              <w:t>0</w:t>
            </w:r>
          </w:p>
        </w:tc>
      </w:tr>
      <w:tr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2041"/>
          </w:tcPr>
          <w:p>
            <w:r>
              <w:t>get_borrower_profile</w:t>
            </w:r>
          </w:p>
        </w:tc>
        <w:tc>
          <w:tcPr>
            <w:tcW w:type="dxa" w:w="737"/>
          </w:tcPr>
          <w:p>
            <w:r>
              <w:t>CODE</w:t>
            </w:r>
          </w:p>
        </w:tc>
        <w:tc>
          <w:tcPr>
            <w:tcW w:type="dxa" w:w="794"/>
          </w:tcPr>
          <w:p>
            <w:r>
              <w:t>done</w:t>
            </w:r>
          </w:p>
        </w:tc>
        <w:tc>
          <w:tcPr>
            <w:tcW w:type="dxa" w:w="4762"/>
          </w:tcPr>
          <w:p>
            <w:r>
              <w:t>Shree Ganesh Packaging, Corrugated packaging, 14 yrs, Bhiwandi</w:t>
            </w:r>
          </w:p>
        </w:tc>
        <w:tc>
          <w:tcPr>
            <w:tcW w:type="dxa" w:w="680"/>
          </w:tcPr>
          <w:p>
            <w:r>
              <w:t>0</w:t>
            </w:r>
          </w:p>
        </w:tc>
      </w:tr>
      <w:tr>
        <w:tc>
          <w:tcPr>
            <w:tcW w:type="dxa" w:w="454"/>
          </w:tcPr>
          <w:p>
            <w:r>
              <w:t>2</w:t>
            </w:r>
          </w:p>
        </w:tc>
        <w:tc>
          <w:tcPr>
            <w:tcW w:type="dxa" w:w="2041"/>
          </w:tcPr>
          <w:p>
            <w:r>
              <w:t>get_financials</w:t>
            </w:r>
          </w:p>
        </w:tc>
        <w:tc>
          <w:tcPr>
            <w:tcW w:type="dxa" w:w="737"/>
          </w:tcPr>
          <w:p>
            <w:r>
              <w:t>CODE</w:t>
            </w:r>
          </w:p>
        </w:tc>
        <w:tc>
          <w:tcPr>
            <w:tcW w:type="dxa" w:w="794"/>
          </w:tcPr>
          <w:p>
            <w:r>
              <w:t>done</w:t>
            </w:r>
          </w:p>
        </w:tc>
        <w:tc>
          <w:tcPr>
            <w:tcW w:type="dxa" w:w="4762"/>
          </w:tcPr>
          <w:p>
            <w:r>
              <w:t>FY25: audited, revenue ₹21.8 Cr, PAT ₹1.0 Cr</w:t>
            </w:r>
          </w:p>
        </w:tc>
        <w:tc>
          <w:tcPr>
            <w:tcW w:type="dxa" w:w="680"/>
          </w:tcPr>
          <w:p>
            <w:r>
              <w:t>0</w:t>
            </w:r>
          </w:p>
        </w:tc>
      </w:tr>
      <w:tr>
        <w:tc>
          <w:tcPr>
            <w:tcW w:type="dxa" w:w="454"/>
          </w:tcPr>
          <w:p>
            <w:r>
              <w:t>3</w:t>
            </w:r>
          </w:p>
        </w:tc>
        <w:tc>
          <w:tcPr>
            <w:tcW w:type="dxa" w:w="2041"/>
          </w:tcPr>
          <w:p>
            <w:r>
              <w:t>get_credit_policy</w:t>
            </w:r>
          </w:p>
        </w:tc>
        <w:tc>
          <w:tcPr>
            <w:tcW w:type="dxa" w:w="737"/>
          </w:tcPr>
          <w:p>
            <w:r>
              <w:t>CODE</w:t>
            </w:r>
          </w:p>
        </w:tc>
        <w:tc>
          <w:tcPr>
            <w:tcW w:type="dxa" w:w="794"/>
          </w:tcPr>
          <w:p>
            <w:r>
              <w:t>done</w:t>
            </w:r>
          </w:p>
        </w:tc>
        <w:tc>
          <w:tcPr>
            <w:tcW w:type="dxa" w:w="4762"/>
          </w:tcPr>
          <w:p>
            <w:r>
              <w:t>Mock SME Credit Policy v1</w:t>
            </w:r>
          </w:p>
        </w:tc>
        <w:tc>
          <w:tcPr>
            <w:tcW w:type="dxa" w:w="680"/>
          </w:tcPr>
          <w:p>
            <w:r>
              <w:t>0</w:t>
            </w:r>
          </w:p>
        </w:tc>
      </w:tr>
      <w:tr>
        <w:tc>
          <w:tcPr>
            <w:tcW w:type="dxa" w:w="454"/>
          </w:tcPr>
          <w:p>
            <w:r>
              <w:t>4</w:t>
            </w:r>
          </w:p>
        </w:tc>
        <w:tc>
          <w:tcPr>
            <w:tcW w:type="dxa" w:w="2041"/>
          </w:tcPr>
          <w:p>
            <w:r>
              <w:t>compute_ratios</w:t>
            </w:r>
          </w:p>
        </w:tc>
        <w:tc>
          <w:tcPr>
            <w:tcW w:type="dxa" w:w="737"/>
          </w:tcPr>
          <w:p>
            <w:r>
              <w:t>CODE</w:t>
            </w:r>
          </w:p>
        </w:tc>
        <w:tc>
          <w:tcPr>
            <w:tcW w:type="dxa" w:w="794"/>
          </w:tcPr>
          <w:p>
            <w:r>
              <w:t>failed</w:t>
            </w:r>
          </w:p>
        </w:tc>
        <w:tc>
          <w:tcPr>
            <w:tcW w:type="dxa" w:w="4762"/>
          </w:tcPr>
          <w:p>
            <w:r>
              <w:t>cannot compute ratios, not fetched yet: gst, bank</w:t>
            </w:r>
          </w:p>
        </w:tc>
        <w:tc>
          <w:tcPr>
            <w:tcW w:type="dxa" w:w="680"/>
          </w:tcPr>
          <w:p>
            <w:r>
              <w:t>0</w:t>
            </w:r>
          </w:p>
        </w:tc>
      </w:tr>
      <w:tr>
        <w:tc>
          <w:tcPr>
            <w:tcW w:type="dxa" w:w="454"/>
          </w:tcPr>
          <w:p>
            <w:r>
              <w:t>5</w:t>
            </w:r>
          </w:p>
        </w:tc>
        <w:tc>
          <w:tcPr>
            <w:tcW w:type="dxa" w:w="2041"/>
          </w:tcPr>
          <w:p>
            <w:r>
              <w:t>draft_section</w:t>
            </w:r>
          </w:p>
        </w:tc>
        <w:tc>
          <w:tcPr>
            <w:tcW w:type="dxa" w:w="737"/>
          </w:tcPr>
          <w:p>
            <w:r>
              <w:t>LLM</w:t>
            </w:r>
          </w:p>
        </w:tc>
        <w:tc>
          <w:tcPr>
            <w:tcW w:type="dxa" w:w="794"/>
          </w:tcPr>
          <w:p>
            <w:r>
              <w:t>done</w:t>
            </w:r>
          </w:p>
        </w:tc>
        <w:tc>
          <w:tcPr>
            <w:tcW w:type="dxa" w:w="4762"/>
          </w:tcPr>
          <w:p>
            <w:r>
              <w:t>43 words</w:t>
            </w:r>
          </w:p>
        </w:tc>
        <w:tc>
          <w:tcPr>
            <w:tcW w:type="dxa" w:w="680"/>
          </w:tcPr>
          <w:p>
            <w:r>
              <w:t>1821</w:t>
            </w:r>
          </w:p>
        </w:tc>
      </w:tr>
      <w:tr>
        <w:tc>
          <w:tcPr>
            <w:tcW w:type="dxa" w:w="454"/>
          </w:tcPr>
          <w:p>
            <w:r>
              <w:t>6</w:t>
            </w:r>
          </w:p>
        </w:tc>
        <w:tc>
          <w:tcPr>
            <w:tcW w:type="dxa" w:w="2041"/>
          </w:tcPr>
          <w:p>
            <w:r>
              <w:t>draft_section</w:t>
            </w:r>
          </w:p>
        </w:tc>
        <w:tc>
          <w:tcPr>
            <w:tcW w:type="dxa" w:w="737"/>
          </w:tcPr>
          <w:p>
            <w:r>
              <w:t>LLM</w:t>
            </w:r>
          </w:p>
        </w:tc>
        <w:tc>
          <w:tcPr>
            <w:tcW w:type="dxa" w:w="794"/>
          </w:tcPr>
          <w:p>
            <w:r>
              <w:t>done</w:t>
            </w:r>
          </w:p>
        </w:tc>
        <w:tc>
          <w:tcPr>
            <w:tcW w:type="dxa" w:w="4762"/>
          </w:tcPr>
          <w:p>
            <w:r>
              <w:t>63 words</w:t>
            </w:r>
          </w:p>
        </w:tc>
        <w:tc>
          <w:tcPr>
            <w:tcW w:type="dxa" w:w="680"/>
          </w:tcPr>
          <w:p>
            <w:r>
              <w:t>4943</w:t>
            </w:r>
          </w:p>
        </w:tc>
      </w:tr>
      <w:tr>
        <w:tc>
          <w:tcPr>
            <w:tcW w:type="dxa" w:w="454"/>
          </w:tcPr>
          <w:p>
            <w:r>
              <w:t>7</w:t>
            </w:r>
          </w:p>
        </w:tc>
        <w:tc>
          <w:tcPr>
            <w:tcW w:type="dxa" w:w="2041"/>
          </w:tcPr>
          <w:p>
            <w:r>
              <w:t>get_gst_returns *</w:t>
            </w:r>
          </w:p>
        </w:tc>
        <w:tc>
          <w:tcPr>
            <w:tcW w:type="dxa" w:w="737"/>
          </w:tcPr>
          <w:p>
            <w:r>
              <w:t>CODE</w:t>
            </w:r>
          </w:p>
        </w:tc>
        <w:tc>
          <w:tcPr>
            <w:tcW w:type="dxa" w:w="794"/>
          </w:tcPr>
          <w:p>
            <w:r>
              <w:t>done</w:t>
            </w:r>
          </w:p>
        </w:tc>
        <w:tc>
          <w:tcPr>
            <w:tcW w:type="dxa" w:w="4762"/>
          </w:tcPr>
          <w:p>
            <w:r>
              <w:t>GST turnover ₹22.0 Cr (12 m), 12 of 12 filed on time</w:t>
            </w:r>
          </w:p>
        </w:tc>
        <w:tc>
          <w:tcPr>
            <w:tcW w:type="dxa" w:w="680"/>
          </w:tcPr>
          <w:p>
            <w:r>
              <w:t>0</w:t>
            </w:r>
          </w:p>
        </w:tc>
      </w:tr>
      <w:tr>
        <w:tc>
          <w:tcPr>
            <w:tcW w:type="dxa" w:w="454"/>
          </w:tcPr>
          <w:p>
            <w:r>
              <w:t>8</w:t>
            </w:r>
          </w:p>
        </w:tc>
        <w:tc>
          <w:tcPr>
            <w:tcW w:type="dxa" w:w="2041"/>
          </w:tcPr>
          <w:p>
            <w:r>
              <w:t>get_bank_statements *</w:t>
            </w:r>
          </w:p>
        </w:tc>
        <w:tc>
          <w:tcPr>
            <w:tcW w:type="dxa" w:w="737"/>
          </w:tcPr>
          <w:p>
            <w:r>
              <w:t>CODE</w:t>
            </w:r>
          </w:p>
        </w:tc>
        <w:tc>
          <w:tcPr>
            <w:tcW w:type="dxa" w:w="794"/>
          </w:tcPr>
          <w:p>
            <w:r>
              <w:t>done</w:t>
            </w:r>
          </w:p>
        </w:tc>
        <w:tc>
          <w:tcPr>
            <w:tcW w:type="dxa" w:w="4762"/>
          </w:tcPr>
          <w:p>
            <w:r>
              <w:t>Bank credits ₹21.1 Cr (12 m), 0 bounced cheques</w:t>
            </w:r>
          </w:p>
        </w:tc>
        <w:tc>
          <w:tcPr>
            <w:tcW w:type="dxa" w:w="680"/>
          </w:tcPr>
          <w:p>
            <w:r>
              <w:t>0</w:t>
            </w:r>
          </w:p>
        </w:tc>
      </w:tr>
      <w:tr>
        <w:tc>
          <w:tcPr>
            <w:tcW w:type="dxa" w:w="454"/>
          </w:tcPr>
          <w:p>
            <w:r>
              <w:t>9</w:t>
            </w:r>
          </w:p>
        </w:tc>
        <w:tc>
          <w:tcPr>
            <w:tcW w:type="dxa" w:w="2041"/>
          </w:tcPr>
          <w:p>
            <w:r>
              <w:t>compute_ratios *</w:t>
            </w:r>
          </w:p>
        </w:tc>
        <w:tc>
          <w:tcPr>
            <w:tcW w:type="dxa" w:w="737"/>
          </w:tcPr>
          <w:p>
            <w:r>
              <w:t>CODE</w:t>
            </w:r>
          </w:p>
        </w:tc>
        <w:tc>
          <w:tcPr>
            <w:tcW w:type="dxa" w:w="794"/>
          </w:tcPr>
          <w:p>
            <w:r>
              <w:t>done</w:t>
            </w:r>
          </w:p>
        </w:tc>
        <w:tc>
          <w:tcPr>
            <w:tcW w:type="dxa" w:w="4762"/>
          </w:tcPr>
          <w:p>
            <w:r>
              <w:t>DSCR 1.76 · LTV 25.0% · D/E 0.88 · CR 1.5 · GST gap 4.1% (from FY25)</w:t>
            </w:r>
          </w:p>
        </w:tc>
        <w:tc>
          <w:tcPr>
            <w:tcW w:type="dxa" w:w="680"/>
          </w:tcPr>
          <w:p>
            <w:r>
              <w:t>0</w:t>
            </w:r>
          </w:p>
        </w:tc>
      </w:tr>
      <w:tr>
        <w:tc>
          <w:tcPr>
            <w:tcW w:type="dxa" w:w="454"/>
          </w:tcPr>
          <w:p>
            <w:r>
              <w:t>10</w:t>
            </w:r>
          </w:p>
        </w:tc>
        <w:tc>
          <w:tcPr>
            <w:tcW w:type="dxa" w:w="2041"/>
          </w:tcPr>
          <w:p>
            <w:r>
              <w:t>draft_section *</w:t>
            </w:r>
          </w:p>
        </w:tc>
        <w:tc>
          <w:tcPr>
            <w:tcW w:type="dxa" w:w="737"/>
          </w:tcPr>
          <w:p>
            <w:r>
              <w:t>LLM</w:t>
            </w:r>
          </w:p>
        </w:tc>
        <w:tc>
          <w:tcPr>
            <w:tcW w:type="dxa" w:w="794"/>
          </w:tcPr>
          <w:p>
            <w:r>
              <w:t>done</w:t>
            </w:r>
          </w:p>
        </w:tc>
        <w:tc>
          <w:tcPr>
            <w:tcW w:type="dxa" w:w="4762"/>
          </w:tcPr>
          <w:p>
            <w:r>
              <w:t>41 words</w:t>
            </w:r>
          </w:p>
        </w:tc>
        <w:tc>
          <w:tcPr>
            <w:tcW w:type="dxa" w:w="680"/>
          </w:tcPr>
          <w:p>
            <w:r>
              <w:t>3651</w:t>
            </w:r>
          </w:p>
        </w:tc>
      </w:tr>
      <w:tr>
        <w:tc>
          <w:tcPr>
            <w:tcW w:type="dxa" w:w="454"/>
          </w:tcPr>
          <w:p>
            <w:r>
              <w:t>11</w:t>
            </w:r>
          </w:p>
        </w:tc>
        <w:tc>
          <w:tcPr>
            <w:tcW w:type="dxa" w:w="2041"/>
          </w:tcPr>
          <w:p>
            <w:r>
              <w:t>draft_section *</w:t>
            </w:r>
          </w:p>
        </w:tc>
        <w:tc>
          <w:tcPr>
            <w:tcW w:type="dxa" w:w="737"/>
          </w:tcPr>
          <w:p>
            <w:r>
              <w:t>LLM</w:t>
            </w:r>
          </w:p>
        </w:tc>
        <w:tc>
          <w:tcPr>
            <w:tcW w:type="dxa" w:w="794"/>
          </w:tcPr>
          <w:p>
            <w:r>
              <w:t>done</w:t>
            </w:r>
          </w:p>
        </w:tc>
        <w:tc>
          <w:tcPr>
            <w:tcW w:type="dxa" w:w="4762"/>
          </w:tcPr>
          <w:p>
            <w:r>
              <w:t>130 words</w:t>
            </w:r>
          </w:p>
        </w:tc>
        <w:tc>
          <w:tcPr>
            <w:tcW w:type="dxa" w:w="680"/>
          </w:tcPr>
          <w:p>
            <w:r>
              <w:t>6091</w:t>
            </w:r>
          </w:p>
        </w:tc>
      </w:tr>
      <w:tr>
        <w:tc>
          <w:tcPr>
            <w:tcW w:type="dxa" w:w="454"/>
          </w:tcPr>
          <w:p>
            <w:r>
              <w:t>12</w:t>
            </w:r>
          </w:p>
        </w:tc>
        <w:tc>
          <w:tcPr>
            <w:tcW w:type="dxa" w:w="2041"/>
          </w:tcPr>
          <w:p>
            <w:r>
              <w:t>draft_section *</w:t>
            </w:r>
          </w:p>
        </w:tc>
        <w:tc>
          <w:tcPr>
            <w:tcW w:type="dxa" w:w="737"/>
          </w:tcPr>
          <w:p>
            <w:r>
              <w:t>LLM</w:t>
            </w:r>
          </w:p>
        </w:tc>
        <w:tc>
          <w:tcPr>
            <w:tcW w:type="dxa" w:w="794"/>
          </w:tcPr>
          <w:p>
            <w:r>
              <w:t>done</w:t>
            </w:r>
          </w:p>
        </w:tc>
        <w:tc>
          <w:tcPr>
            <w:tcW w:type="dxa" w:w="4762"/>
          </w:tcPr>
          <w:p>
            <w:r>
              <w:t>71 words</w:t>
            </w:r>
          </w:p>
        </w:tc>
        <w:tc>
          <w:tcPr>
            <w:tcW w:type="dxa" w:w="680"/>
          </w:tcPr>
          <w:p>
            <w:r>
              <w:t>6801</w:t>
            </w:r>
          </w:p>
        </w:tc>
      </w:tr>
    </w:tbl>
    <w:p/>
    <w:p>
      <w:r>
        <w:rPr>
          <w:i/>
          <w:color w:val="666666"/>
          <w:sz w:val="18"/>
        </w:rPr>
        <w:t>* added by the agent's self-check.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Page </w:t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66666"/>
        <w:sz w:val="16"/>
      </w:rPr>
      <w:t>Credit Memo · Shree Ganesh Packaging · DRAFT for review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