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Memo</w:t>
      </w:r>
    </w:p>
    <w:p>
      <w:pPr>
        <w:pStyle w:val="Heading1"/>
      </w:pPr>
      <w:r>
        <w:t>Shree Ganesh Packaging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2835"/>
            <w:shd w:val="clear" w:fill="1F3A5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236"/>
            <w:shd w:val="clear" w:fill="1F3A5F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Facility</w:t>
            </w:r>
          </w:p>
        </w:tc>
        <w:tc>
          <w:tcPr>
            <w:tcW w:type="dxa" w:w="6236"/>
          </w:tcPr>
          <w:p>
            <w:r>
              <w:t>₹2 Cr working capital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Industry / location</w:t>
            </w:r>
          </w:p>
        </w:tc>
        <w:tc>
          <w:tcPr>
            <w:tcW w:type="dxa" w:w="6236"/>
          </w:tcPr>
          <w:p>
            <w:r>
              <w:t>Corrugated packaging, Bhiwandi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236"/>
          </w:tcPr>
          <w:p>
            <w:r>
              <w:t>22 Oct 2026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Data basis</w:t>
            </w:r>
          </w:p>
        </w:tc>
        <w:tc>
          <w:tcPr>
            <w:tcW w:type="dxa" w:w="6236"/>
          </w:tcPr>
          <w:p>
            <w:r>
              <w:t>FY25 audited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6236"/>
          </w:tcPr>
          <w:p>
            <w:r>
              <w:t>Credit memo agent (AI draft)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236"/>
          </w:tcPr>
          <w:p>
            <w:r>
              <w:t>DRAFT for credit officer review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6F4EA"/>
          </w:tcPr>
          <w:p>
            <w:r>
              <w:rPr>
                <w:b/>
                <w:color w:val="666666"/>
                <w:sz w:val="16"/>
              </w:rPr>
              <w:t>RECOMMENDATION</w:t>
              <w:br/>
            </w:r>
            <w:r>
              <w:rPr>
                <w:b/>
                <w:color w:val="1E7B34"/>
                <w:sz w:val="28"/>
              </w:rPr>
              <w:t>RECOMMEND APPROVAL</w:t>
            </w:r>
            <w:r>
              <w:rPr>
                <w:color w:val="666666"/>
                <w:sz w:val="18"/>
              </w:rPr>
              <w:br/>
              <w:t>6 of 6 policy rules pass</w:t>
            </w:r>
          </w:p>
        </w:tc>
      </w:tr>
    </w:tbl>
    <w:p/>
    <w:p>
      <w:pPr>
        <w:pStyle w:val="Heading2"/>
      </w:pPr>
      <w:r>
        <w:t>Assumptions, flags and open questions</w:t>
      </w:r>
    </w:p>
    <w:p>
      <w:r>
        <w:rPr>
          <w:i/>
          <w:color w:val="666666"/>
          <w:sz w:val="18"/>
        </w:rPr>
        <w:t>None: audited data, no flags and no policy breaches.</w:t>
      </w:r>
    </w:p>
    <w:p>
      <w:pPr>
        <w:pStyle w:val="Heading2"/>
      </w:pPr>
      <w:r>
        <w:t>1. Borrower Overview</w:t>
      </w:r>
    </w:p>
    <w:p>
      <w:pPr>
        <w:spacing w:after="120"/>
      </w:pPr>
      <w:r>
        <w:rPr>
          <w:b w:val="0"/>
        </w:rPr>
        <w:t xml:space="preserve">Shree Ganesh Packaging is a </w:t>
      </w:r>
      <w:r>
        <w:rPr>
          <w:b/>
        </w:rPr>
        <w:t>14‑year‑old</w:t>
      </w:r>
      <w:r>
        <w:rPr>
          <w:b w:val="0"/>
        </w:rPr>
        <w:t xml:space="preserve"> corrugated packaging manufacturer based in Bhiwandi. The business is owned and promoted by Sunil Joshi and currently maintains a banking relationship with Cosmos Co‑operative Bank.</w:t>
      </w:r>
    </w:p>
    <w:p>
      <w:pPr>
        <w:spacing w:after="120"/>
      </w:pPr>
      <w:r>
        <w:rPr>
          <w:b w:val="0"/>
        </w:rPr>
        <w:t xml:space="preserve">The company seeks a </w:t>
      </w:r>
      <w:r>
        <w:rPr>
          <w:b/>
        </w:rPr>
        <w:t>₹2.0 Cr</w:t>
      </w:r>
      <w:r>
        <w:rPr>
          <w:b w:val="0"/>
        </w:rPr>
        <w:t xml:space="preserve"> working‑capital facility to support its ongoing operations and inventory requirements.</w:t>
      </w:r>
    </w:p>
    <w:p>
      <w:pPr>
        <w:pStyle w:val="Heading2"/>
      </w:pPr>
      <w:r>
        <w:t>2. Financial Analysis</w:t>
      </w:r>
    </w:p>
    <w:p>
      <w:pPr>
        <w:spacing w:after="120"/>
      </w:pPr>
      <w:r>
        <w:rPr>
          <w:b w:val="0"/>
        </w:rPr>
        <w:t xml:space="preserve">The audited FY25 financials show revenue of </w:t>
      </w:r>
      <w:r>
        <w:rPr>
          <w:b/>
        </w:rPr>
        <w:t>₹21.8 Cr</w:t>
      </w:r>
      <w:r>
        <w:rPr>
          <w:b w:val="0"/>
        </w:rPr>
        <w:t xml:space="preserve">, PAT of </w:t>
      </w:r>
      <w:r>
        <w:rPr>
          <w:b/>
        </w:rPr>
        <w:t>₹1.0 Cr</w:t>
      </w:r>
      <w:r>
        <w:rPr>
          <w:b w:val="0"/>
        </w:rPr>
        <w:t>, depreciation of ₹0.4 Cr and interest expense of ₹0.36 Cr. Cash accrual for the year is ₹1.76 Cr, while annual debt service, including the proposed new loan, is ₹1.1 Cr.</w:t>
      </w:r>
    </w:p>
    <w:p>
      <w:pPr>
        <w:spacing w:after="120"/>
      </w:pPr>
      <w:r>
        <w:rPr>
          <w:b w:val="0"/>
        </w:rPr>
        <w:t xml:space="preserve">Key ratios for FY25 are all within policy limits: DSCR 1.6 (≥ 1.25), loan‑to‑value 50 % (≤ 70 %), debt‑to‑equity 1.12 (≤ 2.0), current ratio 1.5 (≥ 1.2), and GST‑vs‑bank‑credits gap 4.1 % (≤ 10 %). The requested loan amount of </w:t>
      </w:r>
      <w:r>
        <w:rPr>
          <w:b/>
        </w:rPr>
        <w:t>₹2.0 Cr</w:t>
      </w:r>
      <w:r>
        <w:rPr>
          <w:b w:val="0"/>
        </w:rPr>
        <w:t xml:space="preserve"> complies with the ≤ ₹10 Cr ceiling.</w:t>
      </w:r>
    </w:p>
    <w:p>
      <w:pPr>
        <w:pStyle w:val="ListBullet"/>
      </w:pPr>
      <w:r>
        <w:rPr>
          <w:b w:val="0"/>
        </w:rPr>
        <w:t>Strong coverage of debt service (DSCR 1.6) supports repayment capacity.</w:t>
      </w:r>
    </w:p>
    <w:p>
      <w:pPr>
        <w:pStyle w:val="ListBullet"/>
      </w:pPr>
      <w:r>
        <w:rPr>
          <w:b w:val="0"/>
        </w:rPr>
        <w:t>Adequate liquidity indicated by a current ratio of 1.5.</w:t>
      </w:r>
    </w:p>
    <w:p>
      <w:pPr>
        <w:pStyle w:val="ListBullet"/>
      </w:pPr>
      <w:r>
        <w:rPr>
          <w:b w:val="0"/>
        </w:rPr>
        <w:t>Conservative leverage reflected in a debt‑to‑equity of 1.12.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Year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Revenue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PAT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Depreciation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Interest</w:t>
            </w:r>
          </w:p>
        </w:tc>
      </w:tr>
      <w:tr>
        <w:tc>
          <w:tcPr>
            <w:tcW w:type="dxa" w:w="1624"/>
          </w:tcPr>
          <w:p>
            <w:r>
              <w:rPr>
                <w:b/>
              </w:rPr>
              <w:t>FY25</w:t>
            </w:r>
          </w:p>
        </w:tc>
        <w:tc>
          <w:tcPr>
            <w:tcW w:type="dxa" w:w="1624"/>
          </w:tcPr>
          <w:p>
            <w:r>
              <w:t>audited</w:t>
            </w:r>
          </w:p>
        </w:tc>
        <w:tc>
          <w:tcPr>
            <w:tcW w:type="dxa" w:w="1624"/>
          </w:tcPr>
          <w:p>
            <w:r>
              <w:t>21.80</w:t>
            </w:r>
          </w:p>
        </w:tc>
        <w:tc>
          <w:tcPr>
            <w:tcW w:type="dxa" w:w="1624"/>
          </w:tcPr>
          <w:p>
            <w:r>
              <w:t>1.00</w:t>
            </w:r>
          </w:p>
        </w:tc>
        <w:tc>
          <w:tcPr>
            <w:tcW w:type="dxa" w:w="1624"/>
          </w:tcPr>
          <w:p>
            <w:r>
              <w:t>0.40</w:t>
            </w:r>
          </w:p>
        </w:tc>
        <w:tc>
          <w:tcPr>
            <w:tcW w:type="dxa" w:w="1624"/>
          </w:tcPr>
          <w:p>
            <w:r>
              <w:t>0.36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Ratio</w:t>
            </w:r>
          </w:p>
        </w:tc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DSCR</w:t>
            </w:r>
          </w:p>
        </w:tc>
        <w:tc>
          <w:tcPr>
            <w:tcW w:type="dxa" w:w="3969"/>
          </w:tcPr>
          <w:p>
            <w:r>
              <w:t>1.60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Loan-to-value</w:t>
            </w:r>
          </w:p>
        </w:tc>
        <w:tc>
          <w:tcPr>
            <w:tcW w:type="dxa" w:w="3969"/>
          </w:tcPr>
          <w:p>
            <w:r>
              <w:t>50.0%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Debt / equity</w:t>
            </w:r>
          </w:p>
        </w:tc>
        <w:tc>
          <w:tcPr>
            <w:tcW w:type="dxa" w:w="3969"/>
          </w:tcPr>
          <w:p>
            <w:r>
              <w:t>1.12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Current ratio</w:t>
            </w:r>
          </w:p>
        </w:tc>
        <w:tc>
          <w:tcPr>
            <w:tcW w:type="dxa" w:w="3969"/>
          </w:tcPr>
          <w:p>
            <w:r>
              <w:t>1.50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GST turnover vs bank credits gap</w:t>
            </w:r>
          </w:p>
        </w:tc>
        <w:tc>
          <w:tcPr>
            <w:tcW w:type="dxa" w:w="3969"/>
          </w:tcPr>
          <w:p>
            <w:r>
              <w:t>4.1%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Annual cash accrual (₹ Cr)</w:t>
            </w:r>
          </w:p>
        </w:tc>
        <w:tc>
          <w:tcPr>
            <w:tcW w:type="dxa" w:w="3969"/>
          </w:tcPr>
          <w:p>
            <w:r>
              <w:t>1.76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Annual debt service incl. new loan (₹ Cr)</w:t>
            </w:r>
          </w:p>
        </w:tc>
        <w:tc>
          <w:tcPr>
            <w:tcW w:type="dxa" w:w="3969"/>
          </w:tcPr>
          <w:p>
            <w:r>
              <w:t>1.10</w:t>
            </w:r>
          </w:p>
        </w:tc>
      </w:tr>
    </w:tbl>
    <w:p/>
    <w:p>
      <w:r>
        <w:rPr>
          <w:i/>
          <w:color w:val="666666"/>
          <w:sz w:val="18"/>
        </w:rPr>
        <w:t>All amounts in ₹ crore. Ratios are computed in code, not by the language model.</w:t>
      </w:r>
    </w:p>
    <w:p>
      <w:pPr>
        <w:pStyle w:val="Heading2"/>
      </w:pPr>
      <w:r>
        <w:t>3. Risk Assessment</w:t>
      </w:r>
    </w:p>
    <w:p>
      <w:pPr>
        <w:spacing w:after="120"/>
      </w:pPr>
      <w:r>
        <w:rPr>
          <w:b w:val="0"/>
        </w:rPr>
        <w:t xml:space="preserve">The borrower exhibits strong liquidity and solvency metrics. </w:t>
      </w:r>
      <w:r>
        <w:rPr>
          <w:b/>
        </w:rPr>
        <w:t>DSCR 1.6</w:t>
      </w:r>
      <w:r>
        <w:rPr>
          <w:b w:val="0"/>
        </w:rPr>
        <w:t xml:space="preserve"> exceeds the required 1.25, and the </w:t>
      </w:r>
      <w:r>
        <w:rPr>
          <w:b/>
        </w:rPr>
        <w:t>current ratio 1.5</w:t>
      </w:r>
      <w:r>
        <w:rPr>
          <w:b w:val="0"/>
        </w:rPr>
        <w:t xml:space="preserve"> is above the 1.2 threshold, indicating ample cash flow to meet debt obligations. Leverage is moderate with a </w:t>
      </w:r>
      <w:r>
        <w:rPr>
          <w:b/>
        </w:rPr>
        <w:t>debt‑to‑equity 1.12</w:t>
      </w:r>
      <w:r>
        <w:rPr>
          <w:b w:val="0"/>
        </w:rPr>
        <w:t xml:space="preserve"> and a </w:t>
      </w:r>
      <w:r>
        <w:rPr>
          <w:b/>
        </w:rPr>
        <w:t>loan‑to‑value 50%</w:t>
      </w:r>
      <w:r>
        <w:rPr>
          <w:b w:val="0"/>
        </w:rPr>
        <w:t xml:space="preserve">, both comfortably within policy limits. The GST‑vs‑bank‑credits gap stands at </w:t>
      </w:r>
      <w:r>
        <w:rPr>
          <w:b/>
        </w:rPr>
        <w:t>4.1%</w:t>
      </w:r>
      <w:r>
        <w:rPr>
          <w:b w:val="0"/>
        </w:rPr>
        <w:t xml:space="preserve">, well under the 10% ceiling, and GST filings are fully compliant (12 of 12 on time). Bank credit exposure is modest at ₹21.1 Cr with an average balance of ₹0.78 Cr and no bounced cheques, reflecting a clean repayment history. The proposed loan amount of </w:t>
      </w:r>
      <w:r>
        <w:rPr>
          <w:b/>
        </w:rPr>
        <w:t>₹2.0 Cr</w:t>
      </w:r>
      <w:r>
        <w:rPr>
          <w:b w:val="0"/>
        </w:rPr>
        <w:t xml:space="preserve"> satisfies the ≤ ₹10 Cr policy cap.</w:t>
      </w:r>
    </w:p>
    <w:p>
      <w:pPr>
        <w:pStyle w:val="ListBullet"/>
      </w:pPr>
      <w:r>
        <w:rPr>
          <w:b w:val="0"/>
        </w:rPr>
        <w:t>No material flags identified.</w:t>
      </w:r>
    </w:p>
    <w:p>
      <w:pPr>
        <w:pStyle w:val="ListBullet"/>
      </w:pPr>
      <w:r>
        <w:rPr>
          <w:b w:val="0"/>
        </w:rPr>
        <w:t>Primary risk is exposure to sector‑specific downturns, mitigated by the borrower’s robust cash accrual of ₹1.76 Cr annually.</w:t>
      </w:r>
    </w:p>
    <w:p>
      <w:pPr>
        <w:pStyle w:val="Heading2"/>
      </w:pPr>
      <w:r>
        <w:t>4. Policy Compliance</w:t>
      </w:r>
    </w:p>
    <w:p>
      <w:pPr>
        <w:spacing w:after="120"/>
      </w:pPr>
      <w:r>
        <w:rPr>
          <w:b w:val="0"/>
        </w:rPr>
        <w:t>The loan request complies with all applicable policy parameters.</w:t>
      </w:r>
    </w:p>
    <w:p>
      <w:pPr>
        <w:spacing w:after="120"/>
      </w:pPr>
      <w:r>
        <w:rPr>
          <w:b w:val="0"/>
        </w:rPr>
        <w:t xml:space="preserve">The </w:t>
      </w:r>
      <w:r>
        <w:rPr>
          <w:b/>
        </w:rPr>
        <w:t>DSCR</w:t>
      </w:r>
      <w:r>
        <w:rPr>
          <w:b w:val="0"/>
        </w:rPr>
        <w:t xml:space="preserve"> of </w:t>
      </w:r>
      <w:r>
        <w:rPr>
          <w:b/>
        </w:rPr>
        <w:t>1.6</w:t>
      </w:r>
      <w:r>
        <w:rPr>
          <w:b w:val="0"/>
        </w:rPr>
        <w:t xml:space="preserve"> exceeds the required </w:t>
      </w:r>
      <w:r>
        <w:rPr>
          <w:b/>
        </w:rPr>
        <w:t>≥ 1.25</w:t>
      </w:r>
      <w:r>
        <w:rPr>
          <w:b w:val="0"/>
        </w:rPr>
        <w:t xml:space="preserve">. The </w:t>
      </w:r>
      <w:r>
        <w:rPr>
          <w:b/>
        </w:rPr>
        <w:t>Loan‑to‑value</w:t>
      </w:r>
      <w:r>
        <w:rPr>
          <w:b w:val="0"/>
        </w:rPr>
        <w:t xml:space="preserve"> stands at </w:t>
      </w:r>
      <w:r>
        <w:rPr>
          <w:b/>
        </w:rPr>
        <w:t>50.0%</w:t>
      </w:r>
      <w:r>
        <w:rPr>
          <w:b w:val="0"/>
        </w:rPr>
        <w:t xml:space="preserve">, well within the </w:t>
      </w:r>
      <w:r>
        <w:rPr>
          <w:b/>
        </w:rPr>
        <w:t>≤ 70%</w:t>
      </w:r>
      <w:r>
        <w:rPr>
          <w:b w:val="0"/>
        </w:rPr>
        <w:t xml:space="preserve"> limit. The </w:t>
      </w:r>
      <w:r>
        <w:rPr>
          <w:b/>
        </w:rPr>
        <w:t>Debt/Equity</w:t>
      </w:r>
      <w:r>
        <w:rPr>
          <w:b w:val="0"/>
        </w:rPr>
        <w:t xml:space="preserve"> ratio is </w:t>
      </w:r>
      <w:r>
        <w:rPr>
          <w:b/>
        </w:rPr>
        <w:t>1.12</w:t>
      </w:r>
      <w:r>
        <w:rPr>
          <w:b w:val="0"/>
        </w:rPr>
        <w:t xml:space="preserve">, satisfying the </w:t>
      </w:r>
      <w:r>
        <w:rPr>
          <w:b/>
        </w:rPr>
        <w:t>≤ 2.0</w:t>
      </w:r>
      <w:r>
        <w:rPr>
          <w:b w:val="0"/>
        </w:rPr>
        <w:t xml:space="preserve"> threshold. The </w:t>
      </w:r>
      <w:r>
        <w:rPr>
          <w:b/>
        </w:rPr>
        <w:t>Current ratio</w:t>
      </w:r>
      <w:r>
        <w:rPr>
          <w:b w:val="0"/>
        </w:rPr>
        <w:t xml:space="preserve"> of </w:t>
      </w:r>
      <w:r>
        <w:rPr>
          <w:b/>
        </w:rPr>
        <w:t>1.5</w:t>
      </w:r>
      <w:r>
        <w:rPr>
          <w:b w:val="0"/>
        </w:rPr>
        <w:t xml:space="preserve"> meets the </w:t>
      </w:r>
      <w:r>
        <w:rPr>
          <w:b/>
        </w:rPr>
        <w:t>≥ 1.2</w:t>
      </w:r>
      <w:r>
        <w:rPr>
          <w:b w:val="0"/>
        </w:rPr>
        <w:t xml:space="preserve"> requirement. The </w:t>
      </w:r>
      <w:r>
        <w:rPr>
          <w:b/>
        </w:rPr>
        <w:t>GST vs bank credits gap</w:t>
      </w:r>
      <w:r>
        <w:rPr>
          <w:b w:val="0"/>
        </w:rPr>
        <w:t xml:space="preserve"> is </w:t>
      </w:r>
      <w:r>
        <w:rPr>
          <w:b/>
        </w:rPr>
        <w:t>4.1%</w:t>
      </w:r>
      <w:r>
        <w:rPr>
          <w:b w:val="0"/>
        </w:rPr>
        <w:t xml:space="preserve">, below the </w:t>
      </w:r>
      <w:r>
        <w:rPr>
          <w:b/>
        </w:rPr>
        <w:t>≤ 10%</w:t>
      </w:r>
      <w:r>
        <w:rPr>
          <w:b w:val="0"/>
        </w:rPr>
        <w:t xml:space="preserve"> ceiling. The proposed </w:t>
      </w:r>
      <w:r>
        <w:rPr>
          <w:b/>
        </w:rPr>
        <w:t>Loan amount</w:t>
      </w:r>
      <w:r>
        <w:rPr>
          <w:b w:val="0"/>
        </w:rPr>
        <w:t xml:space="preserve"> of </w:t>
      </w:r>
      <w:r>
        <w:rPr>
          <w:b/>
        </w:rPr>
        <w:t>₹2.0 Cr</w:t>
      </w:r>
      <w:r>
        <w:rPr>
          <w:b w:val="0"/>
        </w:rPr>
        <w:t xml:space="preserve"> is under the </w:t>
      </w:r>
      <w:r>
        <w:rPr>
          <w:b/>
        </w:rPr>
        <w:t>≤ ₹10 Cr</w:t>
      </w:r>
      <w:r>
        <w:rPr>
          <w:b w:val="0"/>
        </w:rPr>
        <w:t xml:space="preserve"> cap.</w:t>
      </w:r>
    </w:p>
    <w:p>
      <w:pPr>
        <w:pStyle w:val="ListBullet"/>
      </w:pPr>
      <w:r>
        <w:rPr>
          <w:b w:val="0"/>
        </w:rPr>
        <w:t xml:space="preserve">All six policy checks result in </w:t>
      </w:r>
      <w:r>
        <w:rPr>
          <w:b/>
        </w:rPr>
        <w:t>PASS</w:t>
      </w:r>
      <w:r>
        <w:rPr>
          <w:b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Actual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DSCR</w:t>
            </w:r>
          </w:p>
        </w:tc>
        <w:tc>
          <w:tcPr>
            <w:tcW w:type="dxa" w:w="2436"/>
          </w:tcPr>
          <w:p>
            <w:r>
              <w:t>&gt;= 1.25</w:t>
            </w:r>
          </w:p>
        </w:tc>
        <w:tc>
          <w:tcPr>
            <w:tcW w:type="dxa" w:w="2436"/>
          </w:tcPr>
          <w:p>
            <w:r>
              <w:t>1.6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Loan-to-value</w:t>
            </w:r>
          </w:p>
        </w:tc>
        <w:tc>
          <w:tcPr>
            <w:tcW w:type="dxa" w:w="2436"/>
          </w:tcPr>
          <w:p>
            <w:r>
              <w:t>&lt;= 70%</w:t>
            </w:r>
          </w:p>
        </w:tc>
        <w:tc>
          <w:tcPr>
            <w:tcW w:type="dxa" w:w="2436"/>
          </w:tcPr>
          <w:p>
            <w:r>
              <w:t>50.0%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Debt/equity</w:t>
            </w:r>
          </w:p>
        </w:tc>
        <w:tc>
          <w:tcPr>
            <w:tcW w:type="dxa" w:w="2436"/>
          </w:tcPr>
          <w:p>
            <w:r>
              <w:t>&lt;= 2.0</w:t>
            </w:r>
          </w:p>
        </w:tc>
        <w:tc>
          <w:tcPr>
            <w:tcW w:type="dxa" w:w="2436"/>
          </w:tcPr>
          <w:p>
            <w:r>
              <w:t>1.12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Current ratio</w:t>
            </w:r>
          </w:p>
        </w:tc>
        <w:tc>
          <w:tcPr>
            <w:tcW w:type="dxa" w:w="2436"/>
          </w:tcPr>
          <w:p>
            <w:r>
              <w:t>&gt;= 1.2</w:t>
            </w:r>
          </w:p>
        </w:tc>
        <w:tc>
          <w:tcPr>
            <w:tcW w:type="dxa" w:w="2436"/>
          </w:tcPr>
          <w:p>
            <w:r>
              <w:t>1.5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GST vs bank credits gap</w:t>
            </w:r>
          </w:p>
        </w:tc>
        <w:tc>
          <w:tcPr>
            <w:tcW w:type="dxa" w:w="2436"/>
          </w:tcPr>
          <w:p>
            <w:r>
              <w:t>&lt;= 10%</w:t>
            </w:r>
          </w:p>
        </w:tc>
        <w:tc>
          <w:tcPr>
            <w:tcW w:type="dxa" w:w="2436"/>
          </w:tcPr>
          <w:p>
            <w:r>
              <w:t>4.1%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Loan amount</w:t>
            </w:r>
          </w:p>
        </w:tc>
        <w:tc>
          <w:tcPr>
            <w:tcW w:type="dxa" w:w="2436"/>
          </w:tcPr>
          <w:p>
            <w:r>
              <w:t>&lt;= ₹10 Cr</w:t>
            </w:r>
          </w:p>
        </w:tc>
        <w:tc>
          <w:tcPr>
            <w:tcW w:type="dxa" w:w="2436"/>
          </w:tcPr>
          <w:p>
            <w:r>
              <w:t>₹2.0 Cr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</w:tbl>
    <w:p/>
    <w:p>
      <w:pPr>
        <w:pStyle w:val="Heading2"/>
      </w:pPr>
      <w:r>
        <w:t>5. Recommendation</w:t>
      </w:r>
    </w:p>
    <w:p>
      <w:pPr>
        <w:spacing w:after="120"/>
      </w:pPr>
      <w:r>
        <w:rPr>
          <w:b/>
        </w:rPr>
        <w:t>RECOMMEND APPROVAL</w:t>
      </w:r>
    </w:p>
    <w:p>
      <w:pPr>
        <w:spacing w:after="120"/>
      </w:pPr>
      <w:r>
        <w:rPr>
          <w:b w:val="0"/>
        </w:rPr>
        <w:t xml:space="preserve">The applicant seeks a working‑capital facility of </w:t>
      </w:r>
      <w:r>
        <w:rPr>
          <w:b/>
        </w:rPr>
        <w:t>₹2.0 Cr</w:t>
      </w:r>
      <w:r>
        <w:rPr>
          <w:b w:val="0"/>
        </w:rPr>
        <w:t>. No policy rules have been breached and there are no flags or outstanding conditions identified in the review.</w:t>
      </w:r>
    </w:p>
    <w:p>
      <w:pPr>
        <w:pStyle w:val="ListBullet"/>
      </w:pPr>
      <w:r>
        <w:rPr>
          <w:b w:val="0"/>
        </w:rPr>
        <w:t>No additional documentation or covenants are required at this stage.</w:t>
      </w:r>
    </w:p>
    <w:p>
      <w:pPr>
        <w:pStyle w:val="Heading2"/>
      </w:pPr>
      <w:r>
        <w:t>Agent self-check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Sections written</w:t>
            </w:r>
          </w:p>
        </w:tc>
        <w:tc>
          <w:tcPr>
            <w:tcW w:type="dxa" w:w="3969"/>
          </w:tcPr>
          <w:p>
            <w:r>
              <w:t>5/5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Ratios computed</w:t>
            </w:r>
          </w:p>
        </w:tc>
        <w:tc>
          <w:tcPr>
            <w:tcW w:type="dxa" w:w="3969"/>
          </w:tcPr>
          <w:p>
            <w:r>
              <w:t>yes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Policy rules tested</w:t>
            </w:r>
          </w:p>
        </w:tc>
        <w:tc>
          <w:tcPr>
            <w:tcW w:type="dxa" w:w="3969"/>
          </w:tcPr>
          <w:p>
            <w:r>
              <w:t>6 (6 pass, 0 fail)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Figures checked against source data</w:t>
            </w:r>
          </w:p>
        </w:tc>
        <w:tc>
          <w:tcPr>
            <w:tcW w:type="dxa" w:w="3969"/>
          </w:tcPr>
          <w:p>
            <w:r>
              <w:t>all grounded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Repairs made by the agent</w:t>
            </w:r>
          </w:p>
        </w:tc>
        <w:tc>
          <w:tcPr>
            <w:tcW w:type="dxa" w:w="3969"/>
          </w:tcPr>
          <w:p>
            <w:r>
              <w:t>0</w:t>
            </w:r>
          </w:p>
        </w:tc>
      </w:tr>
    </w:tbl>
    <w:p/>
    <w:p>
      <w:pPr>
        <w:pStyle w:val="Heading2"/>
      </w:pPr>
      <w:r>
        <w:t>Credit officer sign-off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Entry</w:t>
            </w:r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Name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Decision (approve / reject / refer)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Conditions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Signature and date</w:t>
            </w:r>
          </w:p>
        </w:tc>
        <w:tc>
          <w:tcPr>
            <w:tcW w:type="dxa" w:w="5102"/>
          </w:tcPr>
          <w:p>
            <w:r/>
          </w:p>
        </w:tc>
      </w:tr>
    </w:tbl>
    <w:p/>
    <w:p>
      <w:r>
        <w:br w:type="page"/>
      </w:r>
    </w:p>
    <w:p>
      <w:pPr>
        <w:pStyle w:val="Heading2"/>
      </w:pPr>
      <w:r>
        <w:t>Appendix: agent audit trail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454"/>
            <w:shd w:val="clear" w:fill="1F3A5F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041"/>
            <w:shd w:val="clear" w:fill="1F3A5F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737"/>
            <w:shd w:val="clear" w:fill="1F3A5F"/>
          </w:tcPr>
          <w:p>
            <w:r>
              <w:rPr>
                <w:b/>
                <w:color w:val="FFFFFF"/>
              </w:rPr>
              <w:t>By</w:t>
            </w:r>
          </w:p>
        </w:tc>
        <w:tc>
          <w:tcPr>
            <w:tcW w:type="dxa" w:w="794"/>
            <w:shd w:val="clear" w:fill="1F3A5F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762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  <w:tc>
          <w:tcPr>
            <w:tcW w:type="dxa" w:w="680"/>
            <w:shd w:val="clear" w:fill="1F3A5F"/>
          </w:tcPr>
          <w:p>
            <w:r>
              <w:rPr>
                <w:b/>
                <w:color w:val="FFFFFF"/>
              </w:rPr>
              <w:t>ms</w:t>
            </w:r>
          </w:p>
        </w:tc>
      </w:tr>
      <w:tr>
        <w:tc>
          <w:tcPr>
            <w:tcW w:type="dxa" w:w="454"/>
          </w:tcPr>
          <w:p>
            <w:r/>
          </w:p>
        </w:tc>
        <w:tc>
          <w:tcPr>
            <w:tcW w:type="dxa" w:w="2041"/>
          </w:tcPr>
          <w:p>
            <w:r>
              <w:t>plan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plan drafted</w:t>
            </w:r>
          </w:p>
        </w:tc>
        <w:tc>
          <w:tcPr>
            <w:tcW w:type="dxa" w:w="680"/>
          </w:tcPr>
          <w:p>
            <w:r>
              <w:t>1953</w:t>
            </w:r>
          </w:p>
        </w:tc>
      </w:tr>
      <w:tr>
        <w:tc>
          <w:tcPr>
            <w:tcW w:type="dxa" w:w="454"/>
          </w:tcPr>
          <w:p>
            <w:r/>
          </w:p>
        </w:tc>
        <w:tc>
          <w:tcPr>
            <w:tcW w:type="dxa" w:w="2041"/>
          </w:tcPr>
          <w:p>
            <w:r>
              <w:t>validate_plan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valid: 11 tasks, 0 assumptions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041"/>
          </w:tcPr>
          <w:p>
            <w:r>
              <w:t>get_borrower_profile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Shree Ganesh Packaging, Corrugated packaging, 14 yrs, Bhiwandi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041"/>
          </w:tcPr>
          <w:p>
            <w:r>
              <w:t>get_financials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FY25: audited, revenue ₹21.8 Cr, PAT ₹1.0 Cr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041"/>
          </w:tcPr>
          <w:p>
            <w:r>
              <w:t>get_gst_returns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GST turnover ₹22.0 Cr (12 m), 12 of 12 filed on time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get_bank_statements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Bank credits ₹21.1 Cr (12 m), 0 bounced cheques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get_credit_policy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Mock SME Credit Policy v1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compute_ratios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DSCR 1.6 · LTV 50.0% · D/E 1.12 · CR 1.5 · GST gap 4.1% (from FY25)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47 words</w:t>
            </w:r>
          </w:p>
        </w:tc>
        <w:tc>
          <w:tcPr>
            <w:tcW w:type="dxa" w:w="680"/>
          </w:tcPr>
          <w:p>
            <w:r>
              <w:t>882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123 words</w:t>
            </w:r>
          </w:p>
        </w:tc>
        <w:tc>
          <w:tcPr>
            <w:tcW w:type="dxa" w:w="680"/>
          </w:tcPr>
          <w:p>
            <w:r>
              <w:t>1124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132 words</w:t>
            </w:r>
          </w:p>
        </w:tc>
        <w:tc>
          <w:tcPr>
            <w:tcW w:type="dxa" w:w="680"/>
          </w:tcPr>
          <w:p>
            <w:r>
              <w:t>6097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84 words</w:t>
            </w:r>
          </w:p>
        </w:tc>
        <w:tc>
          <w:tcPr>
            <w:tcW w:type="dxa" w:w="680"/>
          </w:tcPr>
          <w:p>
            <w:r>
              <w:t>6024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40 words</w:t>
            </w:r>
          </w:p>
        </w:tc>
        <w:tc>
          <w:tcPr>
            <w:tcW w:type="dxa" w:w="680"/>
          </w:tcPr>
          <w:p>
            <w:r>
              <w:t>4746</w:t>
            </w:r>
          </w:p>
        </w:tc>
      </w:tr>
    </w:tbl>
    <w:p/>
    <w:p>
      <w:r>
        <w:rPr>
          <w:i/>
          <w:color w:val="666666"/>
          <w:sz w:val="18"/>
        </w:rPr>
        <w:t>* added by the agent's self-check.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Credit Memo · Shree Ganesh Packaging · DRAFT for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