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Credit Memo</w:t>
      </w:r>
    </w:p>
    <w:p>
      <w:pPr>
        <w:pStyle w:val="Heading1"/>
      </w:pPr>
      <w:r>
        <w:t>Patel Agro Pvt Ltd</w:t>
      </w:r>
    </w:p>
    <w:tbl>
      <w:tblPr>
        <w:tblStyle w:val="LightGrid-Accent1"/>
        <w:tblW w:type="auto" w:w="0"/>
        <w:tblLook w:firstColumn="1" w:firstRow="1" w:lastColumn="0" w:lastRow="0" w:noHBand="0" w:noVBand="1" w:val="04A0"/>
      </w:tblPr>
      <w:tblGrid>
        <w:gridCol w:w="4320"/>
        <w:gridCol w:w="4320"/>
      </w:tblGrid>
      <w:tr>
        <w:tc>
          <w:tcPr>
            <w:tcW w:type="dxa" w:w="4320"/>
          </w:tcPr>
          <w:p>
            <w:r>
              <w:t>Field</w:t>
            </w:r>
          </w:p>
        </w:tc>
        <w:tc>
          <w:tcPr>
            <w:tcW w:type="dxa" w:w="4320"/>
          </w:tcPr>
          <w:p>
            <w:r>
              <w:t>Detail</w:t>
            </w:r>
          </w:p>
        </w:tc>
      </w:tr>
      <w:tr>
        <w:tc>
          <w:tcPr>
            <w:tcW w:type="dxa" w:w="4320"/>
          </w:tcPr>
          <w:p>
            <w:r>
              <w:t>Facility</w:t>
            </w:r>
          </w:p>
        </w:tc>
        <w:tc>
          <w:tcPr>
            <w:tcW w:type="dxa" w:w="4320"/>
          </w:tcPr>
          <w:p>
            <w:r>
              <w:t>₹5.0 Cr term loan</w:t>
            </w:r>
          </w:p>
        </w:tc>
      </w:tr>
      <w:tr>
        <w:tc>
          <w:tcPr>
            <w:tcW w:type="dxa" w:w="4320"/>
          </w:tcPr>
          <w:p>
            <w:r>
              <w:t>Date</w:t>
            </w:r>
          </w:p>
        </w:tc>
        <w:tc>
          <w:tcPr>
            <w:tcW w:type="dxa" w:w="4320"/>
          </w:tcPr>
          <w:p>
            <w:r>
              <w:t>22 Oct 2026</w:t>
            </w:r>
          </w:p>
        </w:tc>
      </w:tr>
      <w:tr>
        <w:tc>
          <w:tcPr>
            <w:tcW w:type="dxa" w:w="4320"/>
          </w:tcPr>
          <w:p>
            <w:r>
              <w:t>Data basis</w:t>
            </w:r>
          </w:p>
        </w:tc>
        <w:tc>
          <w:tcPr>
            <w:tcW w:type="dxa" w:w="4320"/>
          </w:tcPr>
          <w:p>
            <w:r>
              <w:t>FY25 provisional</w:t>
            </w:r>
          </w:p>
        </w:tc>
      </w:tr>
      <w:tr>
        <w:tc>
          <w:tcPr>
            <w:tcW w:type="dxa" w:w="4320"/>
          </w:tcPr>
          <w:p>
            <w:r>
              <w:t>Prepared by</w:t>
            </w:r>
          </w:p>
        </w:tc>
        <w:tc>
          <w:tcPr>
            <w:tcW w:type="dxa" w:w="4320"/>
          </w:tcPr>
          <w:p>
            <w:r>
              <w:t>Credit memo agent (AI draft)</w:t>
            </w:r>
          </w:p>
        </w:tc>
      </w:tr>
      <w:tr>
        <w:tc>
          <w:tcPr>
            <w:tcW w:type="dxa" w:w="4320"/>
          </w:tcPr>
          <w:p>
            <w:r>
              <w:t>Status</w:t>
            </w:r>
          </w:p>
        </w:tc>
        <w:tc>
          <w:tcPr>
            <w:tcW w:type="dxa" w:w="4320"/>
          </w:tcPr>
          <w:p>
            <w:r>
              <w:t>DRAFT for credit officer review</w:t>
            </w:r>
          </w:p>
        </w:tc>
      </w:tr>
    </w:tbl>
    <w:p/>
    <w:p>
      <w:r>
        <w:rPr>
          <w:b/>
          <w:color w:val="B01E1E"/>
          <w:sz w:val="26"/>
        </w:rPr>
        <w:t>Recommendation: REFER TO COMMITTEE WITH CONDITIONS</w:t>
      </w:r>
    </w:p>
    <w:p>
      <w:pPr>
        <w:pStyle w:val="Heading2"/>
      </w:pPr>
      <w:r>
        <w:t>Assumptions, flags and open questions</w:t>
      </w:r>
    </w:p>
    <w:p>
      <w:pPr>
        <w:pStyle w:val="ListBullet"/>
      </w:pPr>
      <w:r>
        <w:t>Assumption: Use FY25 provisional financials as audited figures are not yet available.</w:t>
      </w:r>
    </w:p>
    <w:p>
      <w:pPr>
        <w:pStyle w:val="ListBullet"/>
      </w:pPr>
      <w:r>
        <w:t>Assumption: Treat the discrepancy between GST turnover and bank statement balances as a data quality issue to be highlighted in the Risk Assessment.</w:t>
      </w:r>
    </w:p>
    <w:p>
      <w:pPr>
        <w:pStyle w:val="ListBullet"/>
      </w:pPr>
      <w:r>
        <w:t>Flag: FY25 audited financials not available; provisional figures used</w:t>
      </w:r>
    </w:p>
    <w:p>
      <w:pPr>
        <w:pStyle w:val="ListBullet"/>
      </w:pPr>
      <w:r>
        <w:t>Flag: 2 bounced cheques in the last 12 months</w:t>
      </w:r>
    </w:p>
    <w:p>
      <w:pPr>
        <w:pStyle w:val="ListBullet"/>
      </w:pPr>
      <w:r>
        <w:t>Flag: DSCR 1.08 breaches policy (&gt;= 1.25)</w:t>
      </w:r>
    </w:p>
    <w:p>
      <w:pPr>
        <w:pStyle w:val="ListBullet"/>
      </w:pPr>
      <w:r>
        <w:t>Flag: GST vs bank credits gap 18.1% breaches policy (&lt;= 10%)</w:t>
      </w:r>
    </w:p>
    <w:p>
      <w:pPr>
        <w:pStyle w:val="ListBullet"/>
      </w:pPr>
      <w:r>
        <w:t>Open question: When will FY25 audited financials be submitted?</w:t>
      </w:r>
    </w:p>
    <w:p>
      <w:pPr>
        <w:pStyle w:val="ListBullet"/>
      </w:pPr>
      <w:r>
        <w:t>Open question: What explains the 18.1% gap between GST turnover and bank credits?</w:t>
      </w:r>
    </w:p>
    <w:p>
      <w:pPr>
        <w:pStyle w:val="Heading2"/>
      </w:pPr>
      <w:r>
        <w:t>1. Borrower Overview</w:t>
      </w:r>
    </w:p>
    <w:p>
      <w:r>
        <w:t>Patel Agro Pvt Ltd, a food‑processing company specializing in spices and pulses, is headquartered in Nashik. The firm has been operating for nine years and is promoted by Ramesh Patel and Kavita Patel. Its current financing arrangement is with Saraswat Co‑operative Bank. The company is seeking a term loan of ₹5.0 Cr to meet its working‑capital and expansion requirements. No additional financial or operational details are provided.</w:t>
      </w:r>
    </w:p>
    <w:p>
      <w:pPr>
        <w:pStyle w:val="Heading2"/>
      </w:pPr>
      <w:r>
        <w:t>2. Financial Analysis</w:t>
      </w:r>
    </w:p>
    <w:p>
      <w:r>
        <w:t>Revenue rose from ₹14.6 Cr in FY24 (audited) to ₹15.4 Cr in FY25 (provisional), indicating a modest top‑line growth. Correspondingly, profit after tax increased from ₹1.08 Cr to ₹1.2 Cr, while depreciation and interest expense each rose slightly, from ₹0.56 Cr to ₹0.6 Cr and from ₹0.64 Cr to ₹0.68 Cr respectively, reflecting higher asset base and financing costs. The FY25 ratios show a debt service coverage ratio of 1.08, a loan‑to‑value of 58.1 %, a debt‑to‑equity of 1.9, and a current ratio of 1.3, suggesting adequate but limited coverage of debt obligations and modest liquidity. Annual cash accrual is ₹2.48 Cr against annual debt service (including new loan) of ₹2.3 Cr, providing a narrow cash buffer. The GST‑vs‑bank‑credits gap stands at 18.1 %, indicating a notable disparity between tax liabilities and bank financing.</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Year</w:t>
            </w:r>
          </w:p>
        </w:tc>
        <w:tc>
          <w:tcPr>
            <w:tcW w:type="dxa" w:w="1440"/>
          </w:tcPr>
          <w:p>
            <w:r>
              <w:t>Status</w:t>
            </w:r>
          </w:p>
        </w:tc>
        <w:tc>
          <w:tcPr>
            <w:tcW w:type="dxa" w:w="1440"/>
          </w:tcPr>
          <w:p>
            <w:r>
              <w:t>Revenue</w:t>
            </w:r>
          </w:p>
        </w:tc>
        <w:tc>
          <w:tcPr>
            <w:tcW w:type="dxa" w:w="1440"/>
          </w:tcPr>
          <w:p>
            <w:r>
              <w:t>PAT</w:t>
            </w:r>
          </w:p>
        </w:tc>
        <w:tc>
          <w:tcPr>
            <w:tcW w:type="dxa" w:w="1440"/>
          </w:tcPr>
          <w:p>
            <w:r>
              <w:t>Depreciation</w:t>
            </w:r>
          </w:p>
        </w:tc>
        <w:tc>
          <w:tcPr>
            <w:tcW w:type="dxa" w:w="1440"/>
          </w:tcPr>
          <w:p>
            <w:r>
              <w:t>Interest</w:t>
            </w:r>
          </w:p>
        </w:tc>
      </w:tr>
      <w:tr>
        <w:tc>
          <w:tcPr>
            <w:tcW w:type="dxa" w:w="1440"/>
          </w:tcPr>
          <w:p>
            <w:r>
              <w:t>FY24</w:t>
            </w:r>
          </w:p>
        </w:tc>
        <w:tc>
          <w:tcPr>
            <w:tcW w:type="dxa" w:w="1440"/>
          </w:tcPr>
          <w:p>
            <w:r>
              <w:t>audited</w:t>
            </w:r>
          </w:p>
        </w:tc>
        <w:tc>
          <w:tcPr>
            <w:tcW w:type="dxa" w:w="1440"/>
          </w:tcPr>
          <w:p>
            <w:r>
              <w:t>14.6</w:t>
            </w:r>
          </w:p>
        </w:tc>
        <w:tc>
          <w:tcPr>
            <w:tcW w:type="dxa" w:w="1440"/>
          </w:tcPr>
          <w:p>
            <w:r>
              <w:t>1.08</w:t>
            </w:r>
          </w:p>
        </w:tc>
        <w:tc>
          <w:tcPr>
            <w:tcW w:type="dxa" w:w="1440"/>
          </w:tcPr>
          <w:p>
            <w:r>
              <w:t>0.56</w:t>
            </w:r>
          </w:p>
        </w:tc>
        <w:tc>
          <w:tcPr>
            <w:tcW w:type="dxa" w:w="1440"/>
          </w:tcPr>
          <w:p>
            <w:r>
              <w:t>0.64</w:t>
            </w:r>
          </w:p>
        </w:tc>
      </w:tr>
      <w:tr>
        <w:tc>
          <w:tcPr>
            <w:tcW w:type="dxa" w:w="1440"/>
          </w:tcPr>
          <w:p>
            <w:r>
              <w:t>FY25</w:t>
            </w:r>
          </w:p>
        </w:tc>
        <w:tc>
          <w:tcPr>
            <w:tcW w:type="dxa" w:w="1440"/>
          </w:tcPr>
          <w:p>
            <w:r>
              <w:t>provisional</w:t>
            </w:r>
          </w:p>
        </w:tc>
        <w:tc>
          <w:tcPr>
            <w:tcW w:type="dxa" w:w="1440"/>
          </w:tcPr>
          <w:p>
            <w:r>
              <w:t>15.4</w:t>
            </w:r>
          </w:p>
        </w:tc>
        <w:tc>
          <w:tcPr>
            <w:tcW w:type="dxa" w:w="1440"/>
          </w:tcPr>
          <w:p>
            <w:r>
              <w:t>1.2</w:t>
            </w:r>
          </w:p>
        </w:tc>
        <w:tc>
          <w:tcPr>
            <w:tcW w:type="dxa" w:w="1440"/>
          </w:tcPr>
          <w:p>
            <w:r>
              <w:t>0.6</w:t>
            </w:r>
          </w:p>
        </w:tc>
        <w:tc>
          <w:tcPr>
            <w:tcW w:type="dxa" w:w="1440"/>
          </w:tcPr>
          <w:p>
            <w:r>
              <w:t>0.68</w:t>
            </w:r>
          </w:p>
        </w:tc>
      </w:tr>
    </w:tbl>
    <w:p/>
    <w:tbl>
      <w:tblPr>
        <w:tblStyle w:val="LightGrid-Accent1"/>
        <w:tblW w:type="auto" w:w="0"/>
        <w:tblLook w:firstColumn="1" w:firstRow="1" w:lastColumn="0" w:lastRow="0" w:noHBand="0" w:noVBand="1" w:val="04A0"/>
      </w:tblPr>
      <w:tblGrid>
        <w:gridCol w:w="4320"/>
        <w:gridCol w:w="4320"/>
      </w:tblGrid>
      <w:tr>
        <w:tc>
          <w:tcPr>
            <w:tcW w:type="dxa" w:w="4320"/>
          </w:tcPr>
          <w:p>
            <w:r>
              <w:t>Ratio</w:t>
            </w:r>
          </w:p>
        </w:tc>
        <w:tc>
          <w:tcPr>
            <w:tcW w:type="dxa" w:w="4320"/>
          </w:tcPr>
          <w:p>
            <w:r>
              <w:t>Value</w:t>
            </w:r>
          </w:p>
        </w:tc>
      </w:tr>
      <w:tr>
        <w:tc>
          <w:tcPr>
            <w:tcW w:type="dxa" w:w="4320"/>
          </w:tcPr>
          <w:p>
            <w:r>
              <w:t>DSCR</w:t>
            </w:r>
          </w:p>
        </w:tc>
        <w:tc>
          <w:tcPr>
            <w:tcW w:type="dxa" w:w="4320"/>
          </w:tcPr>
          <w:p>
            <w:r>
              <w:t>1.08</w:t>
            </w:r>
          </w:p>
        </w:tc>
      </w:tr>
      <w:tr>
        <w:tc>
          <w:tcPr>
            <w:tcW w:type="dxa" w:w="4320"/>
          </w:tcPr>
          <w:p>
            <w:r>
              <w:t>Loan-to-value</w:t>
            </w:r>
          </w:p>
        </w:tc>
        <w:tc>
          <w:tcPr>
            <w:tcW w:type="dxa" w:w="4320"/>
          </w:tcPr>
          <w:p>
            <w:r>
              <w:t>58.1%</w:t>
            </w:r>
          </w:p>
        </w:tc>
      </w:tr>
      <w:tr>
        <w:tc>
          <w:tcPr>
            <w:tcW w:type="dxa" w:w="4320"/>
          </w:tcPr>
          <w:p>
            <w:r>
              <w:t>Debt / equity</w:t>
            </w:r>
          </w:p>
        </w:tc>
        <w:tc>
          <w:tcPr>
            <w:tcW w:type="dxa" w:w="4320"/>
          </w:tcPr>
          <w:p>
            <w:r>
              <w:t>1.9</w:t>
            </w:r>
          </w:p>
        </w:tc>
      </w:tr>
      <w:tr>
        <w:tc>
          <w:tcPr>
            <w:tcW w:type="dxa" w:w="4320"/>
          </w:tcPr>
          <w:p>
            <w:r>
              <w:t>Current ratio</w:t>
            </w:r>
          </w:p>
        </w:tc>
        <w:tc>
          <w:tcPr>
            <w:tcW w:type="dxa" w:w="4320"/>
          </w:tcPr>
          <w:p>
            <w:r>
              <w:t>1.3</w:t>
            </w:r>
          </w:p>
        </w:tc>
      </w:tr>
      <w:tr>
        <w:tc>
          <w:tcPr>
            <w:tcW w:type="dxa" w:w="4320"/>
          </w:tcPr>
          <w:p>
            <w:r>
              <w:t>GST turnover vs bank credits gap</w:t>
            </w:r>
          </w:p>
        </w:tc>
        <w:tc>
          <w:tcPr>
            <w:tcW w:type="dxa" w:w="4320"/>
          </w:tcPr>
          <w:p>
            <w:r>
              <w:t>18.1%</w:t>
            </w:r>
          </w:p>
        </w:tc>
      </w:tr>
      <w:tr>
        <w:tc>
          <w:tcPr>
            <w:tcW w:type="dxa" w:w="4320"/>
          </w:tcPr>
          <w:p>
            <w:r>
              <w:t>Cash accrual / debt service (₹ Cr)</w:t>
            </w:r>
          </w:p>
        </w:tc>
        <w:tc>
          <w:tcPr>
            <w:tcW w:type="dxa" w:w="4320"/>
          </w:tcPr>
          <w:p>
            <w:r>
              <w:t>2.48 / 2.3</w:t>
            </w:r>
          </w:p>
        </w:tc>
      </w:tr>
    </w:tbl>
    <w:p/>
    <w:p>
      <w:r>
        <w:rPr>
          <w:color w:val="666666"/>
        </w:rPr>
        <w:t>All amounts in ₹ crore. Ratios are computed in code, not by the language model.</w:t>
      </w:r>
    </w:p>
    <w:p>
      <w:pPr>
        <w:pStyle w:val="Heading2"/>
      </w:pPr>
      <w:r>
        <w:t>3. Risk Assessment</w:t>
      </w:r>
    </w:p>
    <w:p>
      <w:r>
        <w:t>The borrower’s DSCR of 1.08 falls short of the bank’s minimum requirement of 1.25, indicating limited capacity to meet debt service obligations, which total ₹2.3 Cr annually including the proposed loan. The GST‑to‑bank‑credits gap stands at 18.1%, exceeding the policy ceiling of 10%, and suggests a mismatch between reported turnover (₹18.2 Cr over the last 12 months) and bank‑funded exposure (₹14.9 Cr). Current liquidity is modest, with a current ratio of 1.3 and an average bank balance of ₹0.42 Cr, while annual cash accrual is only ₹2.48 Cr. The borrower’s leverage is elevated, reflected by a debt‑to‑equity ratio of 1.9 and a loan‑to‑value of 58.1%. Additional concerns include two bounced cheques in the past year and the absence of audited FY25 financials, with only provisional figures available. These factors collectively heighten credit risk.</w:t>
      </w:r>
    </w:p>
    <w:p>
      <w:pPr>
        <w:pStyle w:val="Heading2"/>
      </w:pPr>
      <w:r>
        <w:t>4. Policy Compliance</w:t>
      </w:r>
    </w:p>
    <w:p>
      <w:r>
        <w:t>The credit proposal complies with the majority of the bank’s underwriting criteria. The loan‑to‑value ratio of 58.1% satisfies the ≤ 70% requirement, and the debt‑to‑equity ratio of 1.9 is within the ≤ 2.0 limit. The current ratio of 1.3 exceeds the minimum of 1.2, and the requested loan amount of ₹5.0 Cr is below the ≤ ₹10 Cr ceiling, both resulting in passes. However, the debt service coverage ratio (DSCR) of 1.08 falls short of the required ≥ 1.25, and the GST versus bank credits gap of 18.1% exceeds the ≤ 10% threshold, leading to failures on those two rules.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Rule</w:t>
            </w:r>
          </w:p>
        </w:tc>
        <w:tc>
          <w:tcPr>
            <w:tcW w:type="dxa" w:w="2160"/>
          </w:tcPr>
          <w:p>
            <w:r>
              <w:t>Required</w:t>
            </w:r>
          </w:p>
        </w:tc>
        <w:tc>
          <w:tcPr>
            <w:tcW w:type="dxa" w:w="2160"/>
          </w:tcPr>
          <w:p>
            <w:r>
              <w:t>Actual</w:t>
            </w:r>
          </w:p>
        </w:tc>
        <w:tc>
          <w:tcPr>
            <w:tcW w:type="dxa" w:w="2160"/>
          </w:tcPr>
          <w:p>
            <w:r>
              <w:t>Result</w:t>
            </w:r>
          </w:p>
        </w:tc>
      </w:tr>
      <w:tr>
        <w:tc>
          <w:tcPr>
            <w:tcW w:type="dxa" w:w="2160"/>
          </w:tcPr>
          <w:p>
            <w:r>
              <w:t>DSCR</w:t>
            </w:r>
          </w:p>
        </w:tc>
        <w:tc>
          <w:tcPr>
            <w:tcW w:type="dxa" w:w="2160"/>
          </w:tcPr>
          <w:p>
            <w:r>
              <w:t>&gt;= 1.25</w:t>
            </w:r>
          </w:p>
        </w:tc>
        <w:tc>
          <w:tcPr>
            <w:tcW w:type="dxa" w:w="2160"/>
          </w:tcPr>
          <w:p>
            <w:r>
              <w:t>1.08</w:t>
            </w:r>
          </w:p>
        </w:tc>
        <w:tc>
          <w:tcPr>
            <w:tcW w:type="dxa" w:w="2160"/>
          </w:tcPr>
          <w:p>
            <w:r>
              <w:rPr>
                <w:b/>
                <w:color w:val="B01E1E"/>
              </w:rPr>
              <w:t>FAIL</w:t>
            </w:r>
          </w:p>
        </w:tc>
      </w:tr>
      <w:tr>
        <w:tc>
          <w:tcPr>
            <w:tcW w:type="dxa" w:w="2160"/>
          </w:tcPr>
          <w:p>
            <w:r>
              <w:t>Loan-to-value</w:t>
            </w:r>
          </w:p>
        </w:tc>
        <w:tc>
          <w:tcPr>
            <w:tcW w:type="dxa" w:w="2160"/>
          </w:tcPr>
          <w:p>
            <w:r>
              <w:t>&lt;= 70%</w:t>
            </w:r>
          </w:p>
        </w:tc>
        <w:tc>
          <w:tcPr>
            <w:tcW w:type="dxa" w:w="2160"/>
          </w:tcPr>
          <w:p>
            <w:r>
              <w:t>58.1%</w:t>
            </w:r>
          </w:p>
        </w:tc>
        <w:tc>
          <w:tcPr>
            <w:tcW w:type="dxa" w:w="2160"/>
          </w:tcPr>
          <w:p>
            <w:r>
              <w:rPr>
                <w:b/>
                <w:color w:val="1E7B34"/>
              </w:rPr>
              <w:t>PASS</w:t>
            </w:r>
          </w:p>
        </w:tc>
      </w:tr>
      <w:tr>
        <w:tc>
          <w:tcPr>
            <w:tcW w:type="dxa" w:w="2160"/>
          </w:tcPr>
          <w:p>
            <w:r>
              <w:t>Debt/equity</w:t>
            </w:r>
          </w:p>
        </w:tc>
        <w:tc>
          <w:tcPr>
            <w:tcW w:type="dxa" w:w="2160"/>
          </w:tcPr>
          <w:p>
            <w:r>
              <w:t>&lt;= 2.0</w:t>
            </w:r>
          </w:p>
        </w:tc>
        <w:tc>
          <w:tcPr>
            <w:tcW w:type="dxa" w:w="2160"/>
          </w:tcPr>
          <w:p>
            <w:r>
              <w:t>1.9</w:t>
            </w:r>
          </w:p>
        </w:tc>
        <w:tc>
          <w:tcPr>
            <w:tcW w:type="dxa" w:w="2160"/>
          </w:tcPr>
          <w:p>
            <w:r>
              <w:rPr>
                <w:b/>
                <w:color w:val="1E7B34"/>
              </w:rPr>
              <w:t>PASS</w:t>
            </w:r>
          </w:p>
        </w:tc>
      </w:tr>
      <w:tr>
        <w:tc>
          <w:tcPr>
            <w:tcW w:type="dxa" w:w="2160"/>
          </w:tcPr>
          <w:p>
            <w:r>
              <w:t>Current ratio</w:t>
            </w:r>
          </w:p>
        </w:tc>
        <w:tc>
          <w:tcPr>
            <w:tcW w:type="dxa" w:w="2160"/>
          </w:tcPr>
          <w:p>
            <w:r>
              <w:t>&gt;= 1.2</w:t>
            </w:r>
          </w:p>
        </w:tc>
        <w:tc>
          <w:tcPr>
            <w:tcW w:type="dxa" w:w="2160"/>
          </w:tcPr>
          <w:p>
            <w:r>
              <w:t>1.3</w:t>
            </w:r>
          </w:p>
        </w:tc>
        <w:tc>
          <w:tcPr>
            <w:tcW w:type="dxa" w:w="2160"/>
          </w:tcPr>
          <w:p>
            <w:r>
              <w:rPr>
                <w:b/>
                <w:color w:val="1E7B34"/>
              </w:rPr>
              <w:t>PASS</w:t>
            </w:r>
          </w:p>
        </w:tc>
      </w:tr>
      <w:tr>
        <w:tc>
          <w:tcPr>
            <w:tcW w:type="dxa" w:w="2160"/>
          </w:tcPr>
          <w:p>
            <w:r>
              <w:t>GST vs bank credits gap</w:t>
            </w:r>
          </w:p>
        </w:tc>
        <w:tc>
          <w:tcPr>
            <w:tcW w:type="dxa" w:w="2160"/>
          </w:tcPr>
          <w:p>
            <w:r>
              <w:t>&lt;= 10%</w:t>
            </w:r>
          </w:p>
        </w:tc>
        <w:tc>
          <w:tcPr>
            <w:tcW w:type="dxa" w:w="2160"/>
          </w:tcPr>
          <w:p>
            <w:r>
              <w:t>18.1%</w:t>
            </w:r>
          </w:p>
        </w:tc>
        <w:tc>
          <w:tcPr>
            <w:tcW w:type="dxa" w:w="2160"/>
          </w:tcPr>
          <w:p>
            <w:r>
              <w:rPr>
                <w:b/>
                <w:color w:val="B01E1E"/>
              </w:rPr>
              <w:t>FAIL</w:t>
            </w:r>
          </w:p>
        </w:tc>
      </w:tr>
      <w:tr>
        <w:tc>
          <w:tcPr>
            <w:tcW w:type="dxa" w:w="2160"/>
          </w:tcPr>
          <w:p>
            <w:r>
              <w:t>Loan amount</w:t>
            </w:r>
          </w:p>
        </w:tc>
        <w:tc>
          <w:tcPr>
            <w:tcW w:type="dxa" w:w="2160"/>
          </w:tcPr>
          <w:p>
            <w:r>
              <w:t>&lt;= ₹10 Cr</w:t>
            </w:r>
          </w:p>
        </w:tc>
        <w:tc>
          <w:tcPr>
            <w:tcW w:type="dxa" w:w="2160"/>
          </w:tcPr>
          <w:p>
            <w:r>
              <w:t>₹5.0 Cr</w:t>
            </w:r>
          </w:p>
        </w:tc>
        <w:tc>
          <w:tcPr>
            <w:tcW w:type="dxa" w:w="2160"/>
          </w:tcPr>
          <w:p>
            <w:r>
              <w:rPr>
                <w:b/>
                <w:color w:val="1E7B34"/>
              </w:rPr>
              <w:t>PASS</w:t>
            </w:r>
          </w:p>
        </w:tc>
      </w:tr>
    </w:tbl>
    <w:p/>
    <w:p>
      <w:pPr>
        <w:pStyle w:val="Heading2"/>
      </w:pPr>
      <w:r>
        <w:t>5. Recommendation</w:t>
      </w:r>
    </w:p>
    <w:p>
      <w:r>
        <w:t>The recommendation is to REFER TO COMMITTEE WITH CONDITIONS. The borrower seeks a term loan of ₹5.0 Cr. The application fails two mandatory underwriting rules: the Debt Service Coverage Ratio is 1.08, below the required ≥ 1.25, and the GST‑vs‑bank‑credits gap is 18.1%, exceeding the allowable ≤ 10%. Additional risk flags include the absence of FY25 audited financials (only provisional figures are available) and two bounced cheques in the last 12 months. Conditions for committee approval should include: (1) submission of audited FY25 financial statements; (2) a detailed explanation and remediation plan for the 18.1% GST‑bank credit discrepancy; (3) a strategy to improve DSCR to at least 1.25; and (4) clarification of the reasons for the bounced cheques and corrective actions taken.</w:t>
      </w:r>
    </w:p>
    <w:p>
      <w:pPr>
        <w:pStyle w:val="Heading2"/>
      </w:pPr>
      <w:r>
        <w:t>Agent self-check</w:t>
      </w:r>
    </w:p>
    <w:p>
      <w:r>
        <w:t>Sections 5/5 · ratios computed: yes · policy rules tested: 6 (4 pass, 2 fail) · figures checked against source data: all grounded · repairs made: 0</w:t>
      </w:r>
    </w:p>
    <w:p>
      <w:pPr>
        <w:pStyle w:val="Heading2"/>
      </w:pPr>
      <w:r>
        <w:t>Credit officer sign-off</w:t>
      </w:r>
    </w:p>
    <w:tbl>
      <w:tblPr>
        <w:tblStyle w:val="LightGrid-Accent1"/>
        <w:tblW w:type="auto" w:w="0"/>
        <w:tblLook w:firstColumn="1" w:firstRow="1" w:lastColumn="0" w:lastRow="0" w:noHBand="0" w:noVBand="1" w:val="04A0"/>
      </w:tblPr>
      <w:tblGrid>
        <w:gridCol w:w="4320"/>
        <w:gridCol w:w="4320"/>
      </w:tblGrid>
      <w:tr>
        <w:tc>
          <w:tcPr>
            <w:tcW w:type="dxa" w:w="4320"/>
          </w:tcPr>
          <w:p>
            <w:r>
              <w:t>Field</w:t>
            </w:r>
          </w:p>
        </w:tc>
        <w:tc>
          <w:tcPr>
            <w:tcW w:type="dxa" w:w="4320"/>
          </w:tcPr>
          <w:p>
            <w:r>
              <w:t>Entry</w:t>
            </w:r>
          </w:p>
        </w:tc>
      </w:tr>
      <w:tr>
        <w:tc>
          <w:tcPr>
            <w:tcW w:type="dxa" w:w="4320"/>
          </w:tcPr>
          <w:p>
            <w:r>
              <w:t>Name</w:t>
            </w:r>
          </w:p>
        </w:tc>
        <w:tc>
          <w:tcPr>
            <w:tcW w:type="dxa" w:w="4320"/>
          </w:tcPr>
          <w:p>
            <w:r/>
          </w:p>
        </w:tc>
      </w:tr>
      <w:tr>
        <w:tc>
          <w:tcPr>
            <w:tcW w:type="dxa" w:w="4320"/>
          </w:tcPr>
          <w:p>
            <w:r>
              <w:t>Decision (approve / reject / refer)</w:t>
            </w:r>
          </w:p>
        </w:tc>
        <w:tc>
          <w:tcPr>
            <w:tcW w:type="dxa" w:w="4320"/>
          </w:tcPr>
          <w:p>
            <w:r/>
          </w:p>
        </w:tc>
      </w:tr>
      <w:tr>
        <w:tc>
          <w:tcPr>
            <w:tcW w:type="dxa" w:w="4320"/>
          </w:tcPr>
          <w:p>
            <w:r>
              <w:t>Conditions</w:t>
            </w:r>
          </w:p>
        </w:tc>
        <w:tc>
          <w:tcPr>
            <w:tcW w:type="dxa" w:w="4320"/>
          </w:tcPr>
          <w:p>
            <w:r/>
          </w:p>
        </w:tc>
      </w:tr>
      <w:tr>
        <w:tc>
          <w:tcPr>
            <w:tcW w:type="dxa" w:w="4320"/>
          </w:tcPr>
          <w:p>
            <w:r>
              <w:t>Signature and date</w:t>
            </w:r>
          </w:p>
        </w:tc>
        <w:tc>
          <w:tcPr>
            <w:tcW w:type="dxa" w:w="4320"/>
          </w:tcPr>
          <w:p>
            <w:r/>
          </w:p>
        </w:tc>
      </w:tr>
    </w:tbl>
    <w:p/>
    <w:p>
      <w:r>
        <w:br w:type="page"/>
      </w:r>
    </w:p>
    <w:p>
      <w:pPr>
        <w:pStyle w:val="Heading2"/>
      </w:pPr>
      <w:r>
        <w:t>Appendix: agent audit trail</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w:t>
            </w:r>
          </w:p>
        </w:tc>
        <w:tc>
          <w:tcPr>
            <w:tcW w:type="dxa" w:w="1440"/>
          </w:tcPr>
          <w:p>
            <w:r>
              <w:t>Step</w:t>
            </w:r>
          </w:p>
        </w:tc>
        <w:tc>
          <w:tcPr>
            <w:tcW w:type="dxa" w:w="1440"/>
          </w:tcPr>
          <w:p>
            <w:r>
              <w:t>By</w:t>
            </w:r>
          </w:p>
        </w:tc>
        <w:tc>
          <w:tcPr>
            <w:tcW w:type="dxa" w:w="1440"/>
          </w:tcPr>
          <w:p>
            <w:r>
              <w:t>Status</w:t>
            </w:r>
          </w:p>
        </w:tc>
        <w:tc>
          <w:tcPr>
            <w:tcW w:type="dxa" w:w="1440"/>
          </w:tcPr>
          <w:p>
            <w:r>
              <w:t>Result</w:t>
            </w:r>
          </w:p>
        </w:tc>
        <w:tc>
          <w:tcPr>
            <w:tcW w:type="dxa" w:w="1440"/>
          </w:tcPr>
          <w:p>
            <w:r>
              <w:t>ms</w:t>
            </w:r>
          </w:p>
        </w:tc>
      </w:tr>
      <w:tr>
        <w:tc>
          <w:tcPr>
            <w:tcW w:type="dxa" w:w="1440"/>
          </w:tcPr>
          <w:p>
            <w:r/>
          </w:p>
        </w:tc>
        <w:tc>
          <w:tcPr>
            <w:tcW w:type="dxa" w:w="1440"/>
          </w:tcPr>
          <w:p>
            <w:r>
              <w:t>plan</w:t>
            </w:r>
          </w:p>
        </w:tc>
        <w:tc>
          <w:tcPr>
            <w:tcW w:type="dxa" w:w="1440"/>
          </w:tcPr>
          <w:p>
            <w:r>
              <w:t>LLM</w:t>
            </w:r>
          </w:p>
        </w:tc>
        <w:tc>
          <w:tcPr>
            <w:tcW w:type="dxa" w:w="1440"/>
          </w:tcPr>
          <w:p>
            <w:r>
              <w:t>done</w:t>
            </w:r>
          </w:p>
        </w:tc>
        <w:tc>
          <w:tcPr>
            <w:tcW w:type="dxa" w:w="1440"/>
          </w:tcPr>
          <w:p>
            <w:r/>
          </w:p>
        </w:tc>
        <w:tc>
          <w:tcPr>
            <w:tcW w:type="dxa" w:w="1440"/>
          </w:tcPr>
          <w:p>
            <w:r>
              <w:t>2290</w:t>
            </w:r>
          </w:p>
        </w:tc>
      </w:tr>
      <w:tr>
        <w:tc>
          <w:tcPr>
            <w:tcW w:type="dxa" w:w="1440"/>
          </w:tcPr>
          <w:p>
            <w:r/>
          </w:p>
        </w:tc>
        <w:tc>
          <w:tcPr>
            <w:tcW w:type="dxa" w:w="1440"/>
          </w:tcPr>
          <w:p>
            <w:r>
              <w:t>validate_plan</w:t>
            </w:r>
          </w:p>
        </w:tc>
        <w:tc>
          <w:tcPr>
            <w:tcW w:type="dxa" w:w="1440"/>
          </w:tcPr>
          <w:p>
            <w:r>
              <w:t>CODE</w:t>
            </w:r>
          </w:p>
        </w:tc>
        <w:tc>
          <w:tcPr>
            <w:tcW w:type="dxa" w:w="1440"/>
          </w:tcPr>
          <w:p>
            <w:r>
              <w:t>done</w:t>
            </w:r>
          </w:p>
        </w:tc>
        <w:tc>
          <w:tcPr>
            <w:tcW w:type="dxa" w:w="1440"/>
          </w:tcPr>
          <w:p>
            <w:r>
              <w:t>valid: 12 tasks, 2 assumptions</w:t>
            </w:r>
          </w:p>
        </w:tc>
        <w:tc>
          <w:tcPr>
            <w:tcW w:type="dxa" w:w="1440"/>
          </w:tcPr>
          <w:p>
            <w:r>
              <w:t>0</w:t>
            </w:r>
          </w:p>
        </w:tc>
      </w:tr>
      <w:tr>
        <w:tc>
          <w:tcPr>
            <w:tcW w:type="dxa" w:w="1440"/>
          </w:tcPr>
          <w:p>
            <w:r>
              <w:t>1</w:t>
            </w:r>
          </w:p>
        </w:tc>
        <w:tc>
          <w:tcPr>
            <w:tcW w:type="dxa" w:w="1440"/>
          </w:tcPr>
          <w:p>
            <w:r>
              <w:t>get_borrower_profile</w:t>
            </w:r>
          </w:p>
        </w:tc>
        <w:tc>
          <w:tcPr>
            <w:tcW w:type="dxa" w:w="1440"/>
          </w:tcPr>
          <w:p>
            <w:r>
              <w:t>CODE</w:t>
            </w:r>
          </w:p>
        </w:tc>
        <w:tc>
          <w:tcPr>
            <w:tcW w:type="dxa" w:w="1440"/>
          </w:tcPr>
          <w:p>
            <w:r>
              <w:t>done</w:t>
            </w:r>
          </w:p>
        </w:tc>
        <w:tc>
          <w:tcPr>
            <w:tcW w:type="dxa" w:w="1440"/>
          </w:tcPr>
          <w:p>
            <w:r>
              <w:t>Patel Agro Pvt Ltd, Food processing (spices and pulses), 9 yrs, Nashik</w:t>
            </w:r>
          </w:p>
        </w:tc>
        <w:tc>
          <w:tcPr>
            <w:tcW w:type="dxa" w:w="1440"/>
          </w:tcPr>
          <w:p>
            <w:r>
              <w:t>0</w:t>
            </w:r>
          </w:p>
        </w:tc>
      </w:tr>
      <w:tr>
        <w:tc>
          <w:tcPr>
            <w:tcW w:type="dxa" w:w="1440"/>
          </w:tcPr>
          <w:p>
            <w:r>
              <w:t>2</w:t>
            </w:r>
          </w:p>
        </w:tc>
        <w:tc>
          <w:tcPr>
            <w:tcW w:type="dxa" w:w="1440"/>
          </w:tcPr>
          <w:p>
            <w:r>
              <w:t>get_financials</w:t>
            </w:r>
          </w:p>
        </w:tc>
        <w:tc>
          <w:tcPr>
            <w:tcW w:type="dxa" w:w="1440"/>
          </w:tcPr>
          <w:p>
            <w:r>
              <w:t>CODE</w:t>
            </w:r>
          </w:p>
        </w:tc>
        <w:tc>
          <w:tcPr>
            <w:tcW w:type="dxa" w:w="1440"/>
          </w:tcPr>
          <w:p>
            <w:r>
              <w:t>done</w:t>
            </w:r>
          </w:p>
        </w:tc>
        <w:tc>
          <w:tcPr>
            <w:tcW w:type="dxa" w:w="1440"/>
          </w:tcPr>
          <w:p>
            <w:r>
              <w:t>FY25: provisional, revenue ₹15.4 Cr, PAT ₹1.2 Cr</w:t>
            </w:r>
          </w:p>
        </w:tc>
        <w:tc>
          <w:tcPr>
            <w:tcW w:type="dxa" w:w="1440"/>
          </w:tcPr>
          <w:p>
            <w:r>
              <w:t>0</w:t>
            </w:r>
          </w:p>
        </w:tc>
      </w:tr>
      <w:tr>
        <w:tc>
          <w:tcPr>
            <w:tcW w:type="dxa" w:w="1440"/>
          </w:tcPr>
          <w:p>
            <w:r>
              <w:t>3</w:t>
            </w:r>
          </w:p>
        </w:tc>
        <w:tc>
          <w:tcPr>
            <w:tcW w:type="dxa" w:w="1440"/>
          </w:tcPr>
          <w:p>
            <w:r>
              <w:t>get_financials</w:t>
            </w:r>
          </w:p>
        </w:tc>
        <w:tc>
          <w:tcPr>
            <w:tcW w:type="dxa" w:w="1440"/>
          </w:tcPr>
          <w:p>
            <w:r>
              <w:t>CODE</w:t>
            </w:r>
          </w:p>
        </w:tc>
        <w:tc>
          <w:tcPr>
            <w:tcW w:type="dxa" w:w="1440"/>
          </w:tcPr>
          <w:p>
            <w:r>
              <w:t>done</w:t>
            </w:r>
          </w:p>
        </w:tc>
        <w:tc>
          <w:tcPr>
            <w:tcW w:type="dxa" w:w="1440"/>
          </w:tcPr>
          <w:p>
            <w:r>
              <w:t>FY24: audited, revenue ₹14.6 Cr, PAT ₹1.08 Cr</w:t>
            </w:r>
          </w:p>
        </w:tc>
        <w:tc>
          <w:tcPr>
            <w:tcW w:type="dxa" w:w="1440"/>
          </w:tcPr>
          <w:p>
            <w:r>
              <w:t>0</w:t>
            </w:r>
          </w:p>
        </w:tc>
      </w:tr>
      <w:tr>
        <w:tc>
          <w:tcPr>
            <w:tcW w:type="dxa" w:w="1440"/>
          </w:tcPr>
          <w:p>
            <w:r>
              <w:t>4</w:t>
            </w:r>
          </w:p>
        </w:tc>
        <w:tc>
          <w:tcPr>
            <w:tcW w:type="dxa" w:w="1440"/>
          </w:tcPr>
          <w:p>
            <w:r>
              <w:t>get_gst_returns</w:t>
            </w:r>
          </w:p>
        </w:tc>
        <w:tc>
          <w:tcPr>
            <w:tcW w:type="dxa" w:w="1440"/>
          </w:tcPr>
          <w:p>
            <w:r>
              <w:t>CODE</w:t>
            </w:r>
          </w:p>
        </w:tc>
        <w:tc>
          <w:tcPr>
            <w:tcW w:type="dxa" w:w="1440"/>
          </w:tcPr>
          <w:p>
            <w:r>
              <w:t>done</w:t>
            </w:r>
          </w:p>
        </w:tc>
        <w:tc>
          <w:tcPr>
            <w:tcW w:type="dxa" w:w="1440"/>
          </w:tcPr>
          <w:p>
            <w:r>
              <w:t>GST turnover ₹18.2 Cr (12 m), 11 of 12 filed on time</w:t>
            </w:r>
          </w:p>
        </w:tc>
        <w:tc>
          <w:tcPr>
            <w:tcW w:type="dxa" w:w="1440"/>
          </w:tcPr>
          <w:p>
            <w:r>
              <w:t>0</w:t>
            </w:r>
          </w:p>
        </w:tc>
      </w:tr>
      <w:tr>
        <w:tc>
          <w:tcPr>
            <w:tcW w:type="dxa" w:w="1440"/>
          </w:tcPr>
          <w:p>
            <w:r>
              <w:t>5</w:t>
            </w:r>
          </w:p>
        </w:tc>
        <w:tc>
          <w:tcPr>
            <w:tcW w:type="dxa" w:w="1440"/>
          </w:tcPr>
          <w:p>
            <w:r>
              <w:t>get_bank_statements</w:t>
            </w:r>
          </w:p>
        </w:tc>
        <w:tc>
          <w:tcPr>
            <w:tcW w:type="dxa" w:w="1440"/>
          </w:tcPr>
          <w:p>
            <w:r>
              <w:t>CODE</w:t>
            </w:r>
          </w:p>
        </w:tc>
        <w:tc>
          <w:tcPr>
            <w:tcW w:type="dxa" w:w="1440"/>
          </w:tcPr>
          <w:p>
            <w:r>
              <w:t>done</w:t>
            </w:r>
          </w:p>
        </w:tc>
        <w:tc>
          <w:tcPr>
            <w:tcW w:type="dxa" w:w="1440"/>
          </w:tcPr>
          <w:p>
            <w:r>
              <w:t>Bank credits ₹14.9 Cr (12 m), 2 bounced cheques</w:t>
            </w:r>
          </w:p>
        </w:tc>
        <w:tc>
          <w:tcPr>
            <w:tcW w:type="dxa" w:w="1440"/>
          </w:tcPr>
          <w:p>
            <w:r>
              <w:t>0</w:t>
            </w:r>
          </w:p>
        </w:tc>
      </w:tr>
      <w:tr>
        <w:tc>
          <w:tcPr>
            <w:tcW w:type="dxa" w:w="1440"/>
          </w:tcPr>
          <w:p>
            <w:r>
              <w:t>6</w:t>
            </w:r>
          </w:p>
        </w:tc>
        <w:tc>
          <w:tcPr>
            <w:tcW w:type="dxa" w:w="1440"/>
          </w:tcPr>
          <w:p>
            <w:r>
              <w:t>get_credit_policy</w:t>
            </w:r>
          </w:p>
        </w:tc>
        <w:tc>
          <w:tcPr>
            <w:tcW w:type="dxa" w:w="1440"/>
          </w:tcPr>
          <w:p>
            <w:r>
              <w:t>CODE</w:t>
            </w:r>
          </w:p>
        </w:tc>
        <w:tc>
          <w:tcPr>
            <w:tcW w:type="dxa" w:w="1440"/>
          </w:tcPr>
          <w:p>
            <w:r>
              <w:t>done</w:t>
            </w:r>
          </w:p>
        </w:tc>
        <w:tc>
          <w:tcPr>
            <w:tcW w:type="dxa" w:w="1440"/>
          </w:tcPr>
          <w:p>
            <w:r>
              <w:t>Mock SME Credit Policy v1</w:t>
            </w:r>
          </w:p>
        </w:tc>
        <w:tc>
          <w:tcPr>
            <w:tcW w:type="dxa" w:w="1440"/>
          </w:tcPr>
          <w:p>
            <w:r>
              <w:t>0</w:t>
            </w:r>
          </w:p>
        </w:tc>
      </w:tr>
      <w:tr>
        <w:tc>
          <w:tcPr>
            <w:tcW w:type="dxa" w:w="1440"/>
          </w:tcPr>
          <w:p>
            <w:r>
              <w:t>7</w:t>
            </w:r>
          </w:p>
        </w:tc>
        <w:tc>
          <w:tcPr>
            <w:tcW w:type="dxa" w:w="1440"/>
          </w:tcPr>
          <w:p>
            <w:r>
              <w:t>compute_ratios</w:t>
            </w:r>
          </w:p>
        </w:tc>
        <w:tc>
          <w:tcPr>
            <w:tcW w:type="dxa" w:w="1440"/>
          </w:tcPr>
          <w:p>
            <w:r>
              <w:t>CODE</w:t>
            </w:r>
          </w:p>
        </w:tc>
        <w:tc>
          <w:tcPr>
            <w:tcW w:type="dxa" w:w="1440"/>
          </w:tcPr>
          <w:p>
            <w:r>
              <w:t>done</w:t>
            </w:r>
          </w:p>
        </w:tc>
        <w:tc>
          <w:tcPr>
            <w:tcW w:type="dxa" w:w="1440"/>
          </w:tcPr>
          <w:p>
            <w:r>
              <w:t>DSCR 1.08 · LTV 58.1% · D/E 1.9 · CR 1.3 · GST gap 18.1% (from FY25)</w:t>
            </w:r>
          </w:p>
        </w:tc>
        <w:tc>
          <w:tcPr>
            <w:tcW w:type="dxa" w:w="1440"/>
          </w:tcPr>
          <w:p>
            <w:r>
              <w:t>0</w:t>
            </w:r>
          </w:p>
        </w:tc>
      </w:tr>
      <w:tr>
        <w:tc>
          <w:tcPr>
            <w:tcW w:type="dxa" w:w="1440"/>
          </w:tcPr>
          <w:p>
            <w:r>
              <w:t>8</w:t>
            </w:r>
          </w:p>
        </w:tc>
        <w:tc>
          <w:tcPr>
            <w:tcW w:type="dxa" w:w="1440"/>
          </w:tcPr>
          <w:p>
            <w:r>
              <w:t>draft_section</w:t>
            </w:r>
          </w:p>
        </w:tc>
        <w:tc>
          <w:tcPr>
            <w:tcW w:type="dxa" w:w="1440"/>
          </w:tcPr>
          <w:p>
            <w:r>
              <w:t>LLM</w:t>
            </w:r>
          </w:p>
        </w:tc>
        <w:tc>
          <w:tcPr>
            <w:tcW w:type="dxa" w:w="1440"/>
          </w:tcPr>
          <w:p>
            <w:r>
              <w:t>done</w:t>
            </w:r>
          </w:p>
        </w:tc>
        <w:tc>
          <w:tcPr>
            <w:tcW w:type="dxa" w:w="1440"/>
          </w:tcPr>
          <w:p>
            <w:r>
              <w:t>67 words</w:t>
            </w:r>
          </w:p>
        </w:tc>
        <w:tc>
          <w:tcPr>
            <w:tcW w:type="dxa" w:w="1440"/>
          </w:tcPr>
          <w:p>
            <w:r>
              <w:t>856</w:t>
            </w:r>
          </w:p>
        </w:tc>
      </w:tr>
      <w:tr>
        <w:tc>
          <w:tcPr>
            <w:tcW w:type="dxa" w:w="1440"/>
          </w:tcPr>
          <w:p>
            <w:r>
              <w:t>9</w:t>
            </w:r>
          </w:p>
        </w:tc>
        <w:tc>
          <w:tcPr>
            <w:tcW w:type="dxa" w:w="1440"/>
          </w:tcPr>
          <w:p>
            <w:r>
              <w:t>draft_section</w:t>
            </w:r>
          </w:p>
        </w:tc>
        <w:tc>
          <w:tcPr>
            <w:tcW w:type="dxa" w:w="1440"/>
          </w:tcPr>
          <w:p>
            <w:r>
              <w:t>LLM</w:t>
            </w:r>
          </w:p>
        </w:tc>
        <w:tc>
          <w:tcPr>
            <w:tcW w:type="dxa" w:w="1440"/>
          </w:tcPr>
          <w:p>
            <w:r>
              <w:t>done</w:t>
            </w:r>
          </w:p>
        </w:tc>
        <w:tc>
          <w:tcPr>
            <w:tcW w:type="dxa" w:w="1440"/>
          </w:tcPr>
          <w:p>
            <w:r>
              <w:t>134 words</w:t>
            </w:r>
          </w:p>
        </w:tc>
        <w:tc>
          <w:tcPr>
            <w:tcW w:type="dxa" w:w="1440"/>
          </w:tcPr>
          <w:p>
            <w:r>
              <w:t>1108</w:t>
            </w:r>
          </w:p>
        </w:tc>
      </w:tr>
      <w:tr>
        <w:tc>
          <w:tcPr>
            <w:tcW w:type="dxa" w:w="1440"/>
          </w:tcPr>
          <w:p>
            <w:r>
              <w:t>10</w:t>
            </w:r>
          </w:p>
        </w:tc>
        <w:tc>
          <w:tcPr>
            <w:tcW w:type="dxa" w:w="1440"/>
          </w:tcPr>
          <w:p>
            <w:r>
              <w:t>draft_section</w:t>
            </w:r>
          </w:p>
        </w:tc>
        <w:tc>
          <w:tcPr>
            <w:tcW w:type="dxa" w:w="1440"/>
          </w:tcPr>
          <w:p>
            <w:r>
              <w:t>LLM</w:t>
            </w:r>
          </w:p>
        </w:tc>
        <w:tc>
          <w:tcPr>
            <w:tcW w:type="dxa" w:w="1440"/>
          </w:tcPr>
          <w:p>
            <w:r>
              <w:t>done</w:t>
            </w:r>
          </w:p>
        </w:tc>
        <w:tc>
          <w:tcPr>
            <w:tcW w:type="dxa" w:w="1440"/>
          </w:tcPr>
          <w:p>
            <w:r>
              <w:t>133 words</w:t>
            </w:r>
          </w:p>
        </w:tc>
        <w:tc>
          <w:tcPr>
            <w:tcW w:type="dxa" w:w="1440"/>
          </w:tcPr>
          <w:p>
            <w:r>
              <w:t>1038</w:t>
            </w:r>
          </w:p>
        </w:tc>
      </w:tr>
      <w:tr>
        <w:tc>
          <w:tcPr>
            <w:tcW w:type="dxa" w:w="1440"/>
          </w:tcPr>
          <w:p>
            <w:r>
              <w:t>11</w:t>
            </w:r>
          </w:p>
        </w:tc>
        <w:tc>
          <w:tcPr>
            <w:tcW w:type="dxa" w:w="1440"/>
          </w:tcPr>
          <w:p>
            <w:r>
              <w:t>draft_section</w:t>
            </w:r>
          </w:p>
        </w:tc>
        <w:tc>
          <w:tcPr>
            <w:tcW w:type="dxa" w:w="1440"/>
          </w:tcPr>
          <w:p>
            <w:r>
              <w:t>LLM</w:t>
            </w:r>
          </w:p>
        </w:tc>
        <w:tc>
          <w:tcPr>
            <w:tcW w:type="dxa" w:w="1440"/>
          </w:tcPr>
          <w:p>
            <w:r>
              <w:t>done</w:t>
            </w:r>
          </w:p>
        </w:tc>
        <w:tc>
          <w:tcPr>
            <w:tcW w:type="dxa" w:w="1440"/>
          </w:tcPr>
          <w:p>
            <w:r>
              <w:t>100 words</w:t>
            </w:r>
          </w:p>
        </w:tc>
        <w:tc>
          <w:tcPr>
            <w:tcW w:type="dxa" w:w="1440"/>
          </w:tcPr>
          <w:p>
            <w:r>
              <w:t>875</w:t>
            </w:r>
          </w:p>
        </w:tc>
      </w:tr>
      <w:tr>
        <w:tc>
          <w:tcPr>
            <w:tcW w:type="dxa" w:w="1440"/>
          </w:tcPr>
          <w:p>
            <w:r>
              <w:t>12</w:t>
            </w:r>
          </w:p>
        </w:tc>
        <w:tc>
          <w:tcPr>
            <w:tcW w:type="dxa" w:w="1440"/>
          </w:tcPr>
          <w:p>
            <w:r>
              <w:t>draft_section</w:t>
            </w:r>
          </w:p>
        </w:tc>
        <w:tc>
          <w:tcPr>
            <w:tcW w:type="dxa" w:w="1440"/>
          </w:tcPr>
          <w:p>
            <w:r>
              <w:t>LLM</w:t>
            </w:r>
          </w:p>
        </w:tc>
        <w:tc>
          <w:tcPr>
            <w:tcW w:type="dxa" w:w="1440"/>
          </w:tcPr>
          <w:p>
            <w:r>
              <w:t>done</w:t>
            </w:r>
          </w:p>
        </w:tc>
        <w:tc>
          <w:tcPr>
            <w:tcW w:type="dxa" w:w="1440"/>
          </w:tcPr>
          <w:p>
            <w:r>
              <w:t>122 words</w:t>
            </w:r>
          </w:p>
        </w:tc>
        <w:tc>
          <w:tcPr>
            <w:tcW w:type="dxa" w:w="1440"/>
          </w:tcPr>
          <w:p>
            <w:r>
              <w:t>954</w:t>
            </w:r>
          </w:p>
        </w:tc>
      </w:tr>
    </w:tbl>
    <w:p/>
    <w:p>
      <w:pPr>
        <w:jc w:val="left"/>
      </w:pPr>
      <w:r>
        <w:rPr>
          <w:color w:val="666666"/>
        </w:rPr>
        <w:t>* added by the agent's self-check.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