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استراتيجية أتمتة نظام CyberTrust KSA: الربط بين ضوابط الامتثال وتكامل واجهات برمجة التطبيقات الحكومية</w:t>
      </w:r>
    </w:p>
    <w:p>
      <w:pPr>
        <w:pStyle w:val="Heading2"/>
        <w:pStyle w:val="MdHeading2"/>
      </w:pPr>
      <w:r>
        <w:t xml:space="preserve">المقدمة</w:t>
      </w:r>
    </w:p>
    <w:p>
      <w:pPr>
        <w:pStyle w:val="MdParagraph"/>
      </w:pPr>
      <w:r>
        <w:t xml:space="preserve">تهدف هذه الوثيقة إلى تقديم استراتيجية متكاملة لأتمتة نظام CyberTrust KSA، وذلك من خلال تحليل الربط المتبادل بين ضوابط الامتثال لأرامكو وسابك والهيئة الوطنية للأمن السيبراني (NCA)، بالإضافة إلى استكشاف إمكانيات التكامل مع واجهات برمجة التطبيقات (APIs) الحكومية، وتحديداً خدمة "واثق". يهدف هذا النهج إلى تبسيط عملية التدقيق، وتقليل الجهد اليدوي، وتحسين دقة وكفاءة تقييم الامتثال.</w:t>
      </w:r>
    </w:p>
    <w:p>
      <w:pPr>
        <w:pStyle w:val="MdSpace"/>
        <w:spacing w:before="0" w:after="60"/>
      </w:pPr>
    </w:p>
    <w:p>
      <w:pPr>
        <w:pStyle w:val="Heading2"/>
        <w:pStyle w:val="MdHeading2"/>
      </w:pPr>
      <w:r>
        <w:t xml:space="preserve">1. تحليل الربط المتبادل لضوابط الامتثال (Cross-Mapping Analysis)</w:t>
      </w:r>
    </w:p>
    <w:p>
      <w:pPr>
        <w:pStyle w:val="MdParagraph"/>
      </w:pPr>
      <w:r>
        <w:t xml:space="preserve">تم إجراء تحليل شامل لـ 334 ضابطاً من ضوابط الامتثال المستخرجة من وثائق أرامكو (SACS-002)، سابك (CyberTrust)، والهيئة الوطنية للأمن السيبراني (NCA ECC). يهدف هذا التحليل إلى تحديد الضوابط المتشابهة أو المتداخلة عبر المعايير المختلفة، مما يتيح بناء محرك أسئلة ذكي يقلل من تكرار الأسئلة على الشركات ويحسن تجربة المستخدم.</w:t>
      </w:r>
    </w:p>
    <w:p>
      <w:pPr>
        <w:pStyle w:val="MdSpace"/>
        <w:spacing w:before="0" w:after="60"/>
      </w:pPr>
    </w:p>
    <w:p>
      <w:pPr>
        <w:pStyle w:val="Heading3"/>
        <w:pStyle w:val="MdHeading3"/>
      </w:pPr>
      <w:r>
        <w:t xml:space="preserve">ملخص الربط حسب المحاور الرئيسية: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المحور الرئيسي</w:t>
            </w:r>
          </w:p>
        </w:tc>
        <w:tc>
          <w:tcPr>
            <w:tcMar>
              <w:top w:type="dxa" w:w="100"/>
              <w:left w:type="dxa" w:w="120"/>
              <w:bottom w:type="dxa" w:w="100"/>
              <w:right w:type="dxa" w:w="120"/>
            </w:tcMar>
            <w:vAlign w:val="center"/>
          </w:tcPr>
          <w:p>
            <w:pPr>
              <w:pStyle w:val="MdTableHeader"/>
              <w:jc w:val="left"/>
            </w:pPr>
            <w:r>
              <w:t xml:space="preserve">أرامكو SACS-002</w:t>
            </w:r>
          </w:p>
        </w:tc>
        <w:tc>
          <w:tcPr>
            <w:tcMar>
              <w:top w:type="dxa" w:w="100"/>
              <w:left w:type="dxa" w:w="120"/>
              <w:bottom w:type="dxa" w:w="100"/>
              <w:right w:type="dxa" w:w="120"/>
            </w:tcMar>
            <w:vAlign w:val="center"/>
          </w:tcPr>
          <w:p>
            <w:pPr>
              <w:pStyle w:val="MdTableHeader"/>
              <w:jc w:val="left"/>
            </w:pPr>
            <w:r>
              <w:t xml:space="preserve">NCA ECC:2018</w:t>
            </w:r>
          </w:p>
        </w:tc>
        <w:tc>
          <w:tcPr>
            <w:tcBorders>
              <w:right w:val="none"/>
            </w:tcBorders>
            <w:tcMar>
              <w:top w:type="dxa" w:w="100"/>
              <w:left w:type="dxa" w:w="120"/>
              <w:bottom w:type="dxa" w:w="100"/>
              <w:right w:type="dxa" w:w="120"/>
            </w:tcMar>
            <w:vAlign w:val="center"/>
          </w:tcPr>
          <w:p>
            <w:pPr>
              <w:pStyle w:val="MdTableHeader"/>
              <w:jc w:val="left"/>
            </w:pPr>
            <w:r>
              <w:t xml:space="preserve">سابك CyberTrust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حوكمة وسياسات</w:t>
            </w:r>
          </w:p>
        </w:tc>
        <w:tc>
          <w:tcPr>
            <w:tcMar>
              <w:top w:type="dxa" w:w="80"/>
              <w:left w:type="dxa" w:w="120"/>
              <w:bottom w:type="dxa" w:w="80"/>
              <w:right w:type="dxa" w:w="120"/>
            </w:tcMar>
            <w:vAlign w:val="center"/>
          </w:tcPr>
          <w:p>
            <w:pPr>
              <w:pStyle w:val="MdTableCell"/>
              <w:jc w:val="left"/>
            </w:pPr>
            <w:r>
              <w:t xml:space="preserve">25</w:t>
            </w:r>
          </w:p>
        </w:tc>
        <w:tc>
          <w:tcPr>
            <w:tcMar>
              <w:top w:type="dxa" w:w="80"/>
              <w:left w:type="dxa" w:w="120"/>
              <w:bottom w:type="dxa" w:w="80"/>
              <w:right w:type="dxa" w:w="120"/>
            </w:tcMar>
            <w:vAlign w:val="center"/>
          </w:tcPr>
          <w:p>
            <w:pPr>
              <w:pStyle w:val="MdTableCell"/>
              <w:jc w:val="left"/>
            </w:pPr>
            <w:r>
              <w:t xml:space="preserve">29</w:t>
            </w:r>
          </w:p>
        </w:tc>
        <w:tc>
          <w:tcPr>
            <w:tcBorders>
              <w:right w:val="none"/>
            </w:tcBorders>
            <w:tcMar>
              <w:top w:type="dxa" w:w="80"/>
              <w:left w:type="dxa" w:w="120"/>
              <w:bottom w:type="dxa" w:w="80"/>
              <w:right w:type="dxa" w:w="120"/>
            </w:tcMar>
            <w:vAlign w:val="center"/>
          </w:tcPr>
          <w:p>
            <w:pPr>
              <w:pStyle w:val="MdTableCell"/>
              <w:jc w:val="left"/>
            </w:pPr>
            <w:r>
              <w:t xml:space="preserve">18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التحكم بالوصول والهوية</w:t>
            </w:r>
          </w:p>
        </w:tc>
        <w:tc>
          <w:tcPr>
            <w:tcMar>
              <w:top w:type="dxa" w:w="80"/>
              <w:left w:type="dxa" w:w="120"/>
              <w:bottom w:type="dxa" w:w="80"/>
              <w:right w:type="dxa" w:w="120"/>
            </w:tcMar>
            <w:vAlign w:val="center"/>
          </w:tcPr>
          <w:p>
            <w:pPr>
              <w:pStyle w:val="MdTableCell"/>
              <w:jc w:val="left"/>
            </w:pPr>
            <w:r>
              <w:t xml:space="preserve">15</w:t>
            </w:r>
          </w:p>
        </w:tc>
        <w:tc>
          <w:tcPr>
            <w:tcMar>
              <w:top w:type="dxa" w:w="80"/>
              <w:left w:type="dxa" w:w="120"/>
              <w:bottom w:type="dxa" w:w="80"/>
              <w:right w:type="dxa" w:w="120"/>
            </w:tcMar>
            <w:vAlign w:val="center"/>
          </w:tcPr>
          <w:p>
            <w:pPr>
              <w:pStyle w:val="MdTableCell"/>
              <w:jc w:val="left"/>
            </w:pPr>
            <w:r>
              <w:t xml:space="preserve">11</w:t>
            </w:r>
          </w:p>
        </w:tc>
        <w:tc>
          <w:tcPr>
            <w:tcBorders>
              <w:right w:val="none"/>
            </w:tcBorders>
            <w:tcMar>
              <w:top w:type="dxa" w:w="80"/>
              <w:left w:type="dxa" w:w="120"/>
              <w:bottom w:type="dxa" w:w="80"/>
              <w:right w:type="dxa" w:w="120"/>
            </w:tcMar>
            <w:vAlign w:val="center"/>
          </w:tcPr>
          <w:p>
            <w:pPr>
              <w:pStyle w:val="MdTableCell"/>
              <w:jc w:val="left"/>
            </w:pPr>
            <w:r>
              <w:t xml:space="preserve">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إدارة الأصول</w:t>
            </w:r>
          </w:p>
        </w:tc>
        <w:tc>
          <w:tcPr>
            <w:tcMar>
              <w:top w:type="dxa" w:w="80"/>
              <w:left w:type="dxa" w:w="120"/>
              <w:bottom w:type="dxa" w:w="80"/>
              <w:right w:type="dxa" w:w="120"/>
            </w:tcMar>
            <w:vAlign w:val="center"/>
          </w:tcPr>
          <w:p>
            <w:pPr>
              <w:pStyle w:val="MdTableCell"/>
              <w:jc w:val="left"/>
            </w:pPr>
            <w:r>
              <w:t xml:space="preserve">11</w:t>
            </w:r>
          </w:p>
        </w:tc>
        <w:tc>
          <w:tcPr>
            <w:tcMar>
              <w:top w:type="dxa" w:w="80"/>
              <w:left w:type="dxa" w:w="120"/>
              <w:bottom w:type="dxa" w:w="80"/>
              <w:right w:type="dxa" w:w="120"/>
            </w:tcMar>
            <w:vAlign w:val="center"/>
          </w:tcPr>
          <w:p>
            <w:pPr>
              <w:pStyle w:val="MdTableCell"/>
              <w:jc w:val="left"/>
            </w:pPr>
            <w:r>
              <w:t xml:space="preserve">10</w:t>
            </w:r>
          </w:p>
        </w:tc>
        <w:tc>
          <w:tcPr>
            <w:tcBorders>
              <w:right w:val="none"/>
            </w:tcBorders>
            <w:tcMar>
              <w:top w:type="dxa" w:w="80"/>
              <w:left w:type="dxa" w:w="120"/>
              <w:bottom w:type="dxa" w:w="80"/>
              <w:right w:type="dxa" w:w="120"/>
            </w:tcMar>
            <w:vAlign w:val="center"/>
          </w:tcPr>
          <w:p>
            <w:pPr>
              <w:pStyle w:val="MdTableCell"/>
              <w:jc w:val="left"/>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أمن الأطراف الخارجية</w:t>
            </w:r>
          </w:p>
        </w:tc>
        <w:tc>
          <w:tcPr>
            <w:tcMar>
              <w:top w:type="dxa" w:w="80"/>
              <w:left w:type="dxa" w:w="120"/>
              <w:bottom w:type="dxa" w:w="80"/>
              <w:right w:type="dxa" w:w="120"/>
            </w:tcMar>
            <w:vAlign w:val="center"/>
          </w:tcPr>
          <w:p>
            <w:pPr>
              <w:pStyle w:val="MdTableCell"/>
              <w:jc w:val="left"/>
            </w:pPr>
            <w:r>
              <w:t xml:space="preserve">57</w:t>
            </w:r>
          </w:p>
        </w:tc>
        <w:tc>
          <w:tcPr>
            <w:tcMar>
              <w:top w:type="dxa" w:w="80"/>
              <w:left w:type="dxa" w:w="120"/>
              <w:bottom w:type="dxa" w:w="80"/>
              <w:right w:type="dxa" w:w="120"/>
            </w:tcMar>
            <w:vAlign w:val="center"/>
          </w:tcPr>
          <w:p>
            <w:pPr>
              <w:pStyle w:val="MdTableCell"/>
              <w:jc w:val="left"/>
            </w:pPr>
            <w:r>
              <w:t xml:space="preserve">2</w:t>
            </w:r>
          </w:p>
        </w:tc>
        <w:tc>
          <w:tcPr>
            <w:tcBorders>
              <w:right w:val="none"/>
            </w:tcBorders>
            <w:tcMar>
              <w:top w:type="dxa" w:w="80"/>
              <w:left w:type="dxa" w:w="120"/>
              <w:bottom w:type="dxa" w:w="80"/>
              <w:right w:type="dxa" w:w="120"/>
            </w:tcMar>
            <w:vAlign w:val="center"/>
          </w:tcPr>
          <w:p>
            <w:pPr>
              <w:pStyle w:val="MdTableCell"/>
              <w:jc w:val="left"/>
            </w:pPr>
            <w:r>
              <w:t xml:space="preserve">57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إدارة الحوادث</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8</w:t>
            </w:r>
          </w:p>
        </w:tc>
        <w:tc>
          <w:tcPr>
            <w:tcBorders>
              <w:right w:val="none"/>
            </w:tcBorders>
            <w:tcMar>
              <w:top w:type="dxa" w:w="80"/>
              <w:left w:type="dxa" w:w="120"/>
              <w:bottom w:type="dxa" w:w="80"/>
              <w:right w:type="dxa" w:w="120"/>
            </w:tcMar>
            <w:vAlign w:val="center"/>
          </w:tcPr>
          <w:p>
            <w:pPr>
              <w:pStyle w:val="MdTableCell"/>
              <w:jc w:val="left"/>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الأمن المادي</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Borders>
              <w:right w:val="none"/>
            </w:tcBorders>
            <w:tcMar>
              <w:top w:type="dxa" w:w="80"/>
              <w:left w:type="dxa" w:w="120"/>
              <w:bottom w:type="dxa" w:w="80"/>
              <w:right w:type="dxa" w:w="120"/>
            </w:tcMar>
            <w:vAlign w:val="center"/>
          </w:tcPr>
          <w:p>
            <w:pPr>
              <w:pStyle w:val="MdTableCell"/>
              <w:jc w:val="left"/>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أمن الشبكات</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11</w:t>
            </w:r>
          </w:p>
        </w:tc>
        <w:tc>
          <w:tcPr>
            <w:tcBorders>
              <w:right w:val="none"/>
            </w:tcBorders>
            <w:tcMar>
              <w:top w:type="dxa" w:w="80"/>
              <w:left w:type="dxa" w:w="120"/>
              <w:bottom w:type="dxa" w:w="80"/>
              <w:right w:type="dxa" w:w="120"/>
            </w:tcMar>
            <w:vAlign w:val="center"/>
          </w:tcPr>
          <w:p>
            <w:pPr>
              <w:pStyle w:val="MdTableCell"/>
              <w:jc w:val="left"/>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حماية البيانات</w:t>
            </w:r>
          </w:p>
        </w:tc>
        <w:tc>
          <w:tcPr>
            <w:tcMar>
              <w:top w:type="dxa" w:w="80"/>
              <w:left w:type="dxa" w:w="120"/>
              <w:bottom w:type="dxa" w:w="80"/>
              <w:right w:type="dxa" w:w="120"/>
            </w:tcMar>
            <w:vAlign w:val="center"/>
          </w:tcPr>
          <w:p>
            <w:pPr>
              <w:pStyle w:val="MdTableCell"/>
              <w:jc w:val="left"/>
            </w:pPr>
            <w:r>
              <w:t xml:space="preserve">14</w:t>
            </w:r>
          </w:p>
        </w:tc>
        <w:tc>
          <w:tcPr>
            <w:tcMar>
              <w:top w:type="dxa" w:w="80"/>
              <w:left w:type="dxa" w:w="120"/>
              <w:bottom w:type="dxa" w:w="80"/>
              <w:right w:type="dxa" w:w="120"/>
            </w:tcMar>
            <w:vAlign w:val="center"/>
          </w:tcPr>
          <w:p>
            <w:pPr>
              <w:pStyle w:val="MdTableCell"/>
              <w:jc w:val="left"/>
            </w:pPr>
            <w:r>
              <w:t xml:space="preserve">16</w:t>
            </w:r>
          </w:p>
        </w:tc>
        <w:tc>
          <w:tcPr>
            <w:tcBorders>
              <w:right w:val="none"/>
            </w:tcBorders>
            <w:tcMar>
              <w:top w:type="dxa" w:w="80"/>
              <w:left w:type="dxa" w:w="120"/>
              <w:bottom w:type="dxa" w:w="80"/>
              <w:right w:type="dxa" w:w="120"/>
            </w:tcMar>
            <w:vAlign w:val="center"/>
          </w:tcPr>
          <w:p>
            <w:pPr>
              <w:pStyle w:val="MdTableCell"/>
              <w:jc w:val="left"/>
            </w:pPr>
            <w:r>
              <w:t xml:space="preserve">27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الثغرات والتصحيحات</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7</w:t>
            </w:r>
          </w:p>
        </w:tc>
        <w:tc>
          <w:tcPr>
            <w:tcBorders>
              <w:right w:val="none"/>
            </w:tcBorders>
            <w:tcMar>
              <w:top w:type="dxa" w:w="80"/>
              <w:left w:type="dxa" w:w="120"/>
              <w:bottom w:type="dxa" w:w="80"/>
              <w:right w:type="dxa" w:w="120"/>
            </w:tcMar>
            <w:vAlign w:val="center"/>
          </w:tcPr>
          <w:p>
            <w:pPr>
              <w:pStyle w:val="MdTableCell"/>
              <w:jc w:val="left"/>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التوعية والتدريب</w:t>
            </w:r>
          </w:p>
        </w:tc>
        <w:tc>
          <w:tcPr>
            <w:tcMar>
              <w:top w:type="dxa" w:w="80"/>
              <w:left w:type="dxa" w:w="120"/>
              <w:bottom w:type="dxa" w:w="80"/>
              <w:right w:type="dxa" w:w="120"/>
            </w:tcMar>
            <w:vAlign w:val="center"/>
          </w:tcPr>
          <w:p>
            <w:pPr>
              <w:pStyle w:val="MdTableCell"/>
              <w:jc w:val="left"/>
            </w:pPr>
            <w:r>
              <w:t xml:space="preserve">1</w:t>
            </w:r>
          </w:p>
        </w:tc>
        <w:tc>
          <w:tcPr>
            <w:tcMar>
              <w:top w:type="dxa" w:w="80"/>
              <w:left w:type="dxa" w:w="120"/>
              <w:bottom w:type="dxa" w:w="80"/>
              <w:right w:type="dxa" w:w="120"/>
            </w:tcMar>
            <w:vAlign w:val="center"/>
          </w:tcPr>
          <w:p>
            <w:pPr>
              <w:pStyle w:val="MdTableCell"/>
              <w:jc w:val="left"/>
            </w:pPr>
            <w:r>
              <w:t xml:space="preserve">5</w:t>
            </w:r>
          </w:p>
        </w:tc>
        <w:tc>
          <w:tcPr>
            <w:tcBorders>
              <w:right w:val="none"/>
            </w:tcBorders>
            <w:tcMar>
              <w:top w:type="dxa" w:w="80"/>
              <w:left w:type="dxa" w:w="120"/>
              <w:bottom w:type="dxa" w:w="80"/>
              <w:right w:type="dxa" w:w="120"/>
            </w:tcMar>
            <w:vAlign w:val="center"/>
          </w:tcPr>
          <w:p>
            <w:pPr>
              <w:pStyle w:val="MdTableCell"/>
              <w:jc w:val="left"/>
            </w:pPr>
            <w:r>
              <w:t xml:space="preserve">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أخرى</w:t>
            </w:r>
          </w:p>
        </w:tc>
        <w:tc>
          <w:tcPr>
            <w:tcBorders>
              <w:bottom w:val="single" w:color="E1E4E8" w:sz="4"/>
            </w:tcBorders>
            <w:tcMar>
              <w:top w:type="dxa" w:w="80"/>
              <w:left w:type="dxa" w:w="120"/>
              <w:bottom w:type="dxa" w:w="80"/>
              <w:right w:type="dxa" w:w="120"/>
            </w:tcMar>
            <w:vAlign w:val="center"/>
          </w:tcPr>
          <w:p>
            <w:pPr>
              <w:pStyle w:val="MdTableCell"/>
              <w:jc w:val="left"/>
            </w:pPr>
            <w:r>
              <w:t xml:space="preserve">9</w:t>
            </w:r>
          </w:p>
        </w:tc>
        <w:tc>
          <w:tcPr>
            <w:tcBorders>
              <w:bottom w:val="single" w:color="E1E4E8" w:sz="4"/>
            </w:tcBorders>
            <w:tcMar>
              <w:top w:type="dxa" w:w="80"/>
              <w:left w:type="dxa" w:w="120"/>
              <w:bottom w:type="dxa" w:w="80"/>
              <w:right w:type="dxa" w:w="120"/>
            </w:tcMar>
            <w:vAlign w:val="center"/>
          </w:tcPr>
          <w:p>
            <w:pPr>
              <w:pStyle w:val="MdTableCell"/>
              <w:jc w:val="left"/>
            </w:pPr>
            <w:r>
              <w:t xml:space="preserve">71</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13</w:t>
            </w:r>
          </w:p>
        </w:tc>
      </w:tr>
    </w:tbl>
    <w:p>
      <w:pPr>
        <w:pStyle w:val="MdParagraph"/>
      </w:pPr>
      <w:r>
        <w:rPr>
          <w:rStyle w:val="MdStrong"/>
          <w:b/>
          <w:bCs/>
        </w:rPr>
        <w:t xml:space="preserve">الاستنتاجات:</w:t>
      </w:r>
    </w:p>
    <w:p>
      <w:pPr>
        <w:pStyle w:val="MdListItem"/>
        <w:numPr>
          <w:ilvl w:val="0"/>
          <w:numId w:val="2"/>
        </w:numPr>
      </w:pPr>
      <w:r>
        <w:t xml:space="preserve">تظهر الضوابط المتعلقة بـ </w:t>
      </w:r>
      <w:r>
        <w:rPr>
          <w:rStyle w:val="MdStrong"/>
          <w:b/>
          <w:bCs/>
        </w:rPr>
        <w:t xml:space="preserve">"أمن الأطراف الخارجية"</w:t>
      </w:r>
      <w:r>
        <w:t xml:space="preserve"> و </w:t>
      </w:r>
      <w:r>
        <w:rPr>
          <w:rStyle w:val="MdStrong"/>
          <w:b/>
          <w:bCs/>
        </w:rPr>
        <w:t xml:space="preserve">"حوكمة وسياسات"</w:t>
      </w:r>
      <w:r>
        <w:t xml:space="preserve"> و </w:t>
      </w:r>
      <w:r>
        <w:rPr>
          <w:rStyle w:val="MdStrong"/>
          <w:b/>
          <w:bCs/>
        </w:rPr>
        <w:t xml:space="preserve">"حماية البيانات"</w:t>
      </w:r>
      <w:r>
        <w:t xml:space="preserve"> تداخلاً كبيراً بين أرامكو وسابك، مما يشير إلى إمكانية دمج الأسئلة المتعلقة بهذه المحاور بشكل فعال.</w:t>
      </w:r>
    </w:p>
    <w:p>
      <w:pPr>
        <w:pStyle w:val="MdListItem"/>
        <w:numPr>
          <w:ilvl w:val="0"/>
          <w:numId w:val="2"/>
        </w:numPr>
      </w:pPr>
      <w:r>
        <w:t xml:space="preserve">ضوابط </w:t>
      </w:r>
      <w:r>
        <w:rPr>
          <w:rStyle w:val="MdStrong"/>
          <w:b/>
          <w:bCs/>
        </w:rPr>
        <w:t xml:space="preserve">NCA ECC</w:t>
      </w:r>
      <w:r>
        <w:t xml:space="preserve"> تغطي نطاقاً واسعاً، وهناك عدد كبير من الضوابط المصنفة تحت "أخرى"، مما يتطلب تحليلاً أعمق لتحديد مدى تداخلها مع الضوابط الفنية المحددة في أرامكو وسابك.</w:t>
      </w:r>
    </w:p>
    <w:p>
      <w:pPr>
        <w:pStyle w:val="MdListItem"/>
        <w:numPr>
          <w:ilvl w:val="0"/>
          <w:numId w:val="2"/>
        </w:numPr>
      </w:pPr>
      <w:r>
        <w:t xml:space="preserve">يمكن استخدام هذا التحليل لتصميم محرك أسئلة ذكي، حيث تؤدي الإجابة على سؤال واحد إلى تحديث حالة الامتثال لضوابط متعددة عبر المعايير المختلفة.</w:t>
      </w:r>
    </w:p>
    <w:p>
      <w:pPr>
        <w:pStyle w:val="MdSpace"/>
        <w:spacing w:before="0" w:after="60"/>
      </w:pPr>
    </w:p>
    <w:p>
      <w:pPr>
        <w:pStyle w:val="Heading2"/>
        <w:pStyle w:val="MdHeading2"/>
      </w:pPr>
      <w:r>
        <w:t xml:space="preserve">2. استراتيجية تكامل واجهات برمجة التطبيقات (APIs) الحكومية: خدمة "واثق"</w:t>
      </w:r>
    </w:p>
    <w:p>
      <w:pPr>
        <w:pStyle w:val="MdParagraph"/>
      </w:pPr>
      <w:r>
        <w:t xml:space="preserve">تعتبر خدمة "واثق" (Wathq) من المنصات الحيوية التي يمكن لنظام CyberTrust KSA الاستفادة منها لأتمتة جمع البيانات الأساسية عن الشركات، مما يقلل من الحاجة إلى إدخال البيانات يدوياً ويضمن دقتها. </w:t>
      </w:r>
    </w:p>
    <w:p>
      <w:pPr>
        <w:pStyle w:val="MdSpace"/>
        <w:spacing w:before="0" w:after="60"/>
      </w:pPr>
    </w:p>
    <w:p>
      <w:pPr>
        <w:pStyle w:val="Heading3"/>
        <w:pStyle w:val="MdHeading3"/>
      </w:pPr>
      <w:r>
        <w:t xml:space="preserve">الخدمات المتاحة عبر واجهة برمجة تطبيقات "واثق":</w:t>
      </w:r>
    </w:p>
    <w:p>
      <w:pPr>
        <w:pStyle w:val="MdListItem"/>
        <w:numPr>
          <w:ilvl w:val="0"/>
          <w:numId w:val="2"/>
        </w:numPr>
      </w:pPr>
      <w:r>
        <w:rPr>
          <w:rStyle w:val="MdStrong"/>
          <w:b/>
          <w:bCs/>
        </w:rPr>
        <w:t xml:space="preserve">بيانات السجل التجاري:</w:t>
      </w:r>
      <w:r>
        <w:t xml:space="preserve"> تتيح الوصول إلى بيانات السجل التجاري الكاملة، حالة السجل، الفروع، رأس المال، المديرين، والمالكين. يمكن استخدامها للتحقق من هوية الشركة ونشاطها.</w:t>
      </w:r>
    </w:p>
    <w:p>
      <w:pPr>
        <w:pStyle w:val="MdListItem"/>
        <w:numPr>
          <w:ilvl w:val="0"/>
          <w:numId w:val="2"/>
        </w:numPr>
      </w:pPr>
      <w:r>
        <w:rPr>
          <w:rStyle w:val="MdStrong"/>
          <w:b/>
          <w:bCs/>
        </w:rPr>
        <w:t xml:space="preserve">بيانات عقود الشركات:</w:t>
      </w:r>
      <w:r>
        <w:t xml:space="preserve"> معلومات حول عقود التأسيس وبيانات المديرين.</w:t>
      </w:r>
    </w:p>
    <w:p>
      <w:pPr>
        <w:pStyle w:val="MdListItem"/>
        <w:numPr>
          <w:ilvl w:val="0"/>
          <w:numId w:val="2"/>
        </w:numPr>
      </w:pPr>
      <w:r>
        <w:rPr>
          <w:rStyle w:val="MdStrong"/>
          <w:b/>
          <w:bCs/>
        </w:rPr>
        <w:t xml:space="preserve">العنوان الوطني:</w:t>
      </w:r>
      <w:r>
        <w:t xml:space="preserve"> التحقق من بيانات العنوان الوطني للمنشآت.</w:t>
      </w:r>
    </w:p>
    <w:p>
      <w:pPr>
        <w:pStyle w:val="MdListItem"/>
        <w:numPr>
          <w:ilvl w:val="0"/>
          <w:numId w:val="2"/>
        </w:numPr>
      </w:pPr>
      <w:r>
        <w:rPr>
          <w:rStyle w:val="MdStrong"/>
          <w:b/>
          <w:bCs/>
        </w:rPr>
        <w:t xml:space="preserve">بيانات الموظفين:</w:t>
      </w:r>
      <w:r>
        <w:t xml:space="preserve"> معلومات عن التوظيف والأجور من المؤسسة العامة للتأمينات الاجتماعية (GOSI).</w:t>
      </w:r>
    </w:p>
    <w:p>
      <w:pPr>
        <w:pStyle w:val="MdListItem"/>
        <w:numPr>
          <w:ilvl w:val="0"/>
          <w:numId w:val="2"/>
        </w:numPr>
      </w:pPr>
      <w:r>
        <w:rPr>
          <w:rStyle w:val="MdStrong"/>
          <w:b/>
          <w:bCs/>
        </w:rPr>
        <w:t xml:space="preserve">صكوك الملكية العقارية والوكالات:</w:t>
      </w:r>
      <w:r>
        <w:t xml:space="preserve"> للتحقق من البيانات العقارية والوكالات.</w:t>
      </w:r>
    </w:p>
    <w:p>
      <w:pPr>
        <w:pStyle w:val="MdSpace"/>
        <w:spacing w:before="0" w:after="60"/>
      </w:pPr>
    </w:p>
    <w:p>
      <w:pPr>
        <w:pStyle w:val="Heading3"/>
        <w:pStyle w:val="MdHeading3"/>
      </w:pPr>
      <w:r>
        <w:t xml:space="preserve">هيكل التسعير:</w:t>
      </w:r>
    </w:p>
    <w:p>
      <w:pPr>
        <w:pStyle w:val="MdListItem"/>
        <w:numPr>
          <w:ilvl w:val="0"/>
          <w:numId w:val="2"/>
        </w:numPr>
      </w:pPr>
      <w:r>
        <w:rPr>
          <w:rStyle w:val="MdStrong"/>
          <w:b/>
          <w:bCs/>
        </w:rPr>
        <w:t xml:space="preserve">الباقة التجريبية:</w:t>
      </w:r>
      <w:r>
        <w:t xml:space="preserve"> مجانية، وتوفر 100 استعلام لمدة 30 يوماً.</w:t>
      </w:r>
    </w:p>
    <w:p>
      <w:pPr>
        <w:pStyle w:val="MdListItem"/>
        <w:numPr>
          <w:ilvl w:val="0"/>
          <w:numId w:val="2"/>
        </w:numPr>
      </w:pPr>
      <w:r>
        <w:rPr>
          <w:rStyle w:val="MdStrong"/>
          <w:b/>
          <w:bCs/>
        </w:rPr>
        <w:t xml:space="preserve">الباقة المدفوعة مسبقاً:</w:t>
      </w:r>
      <w:r>
        <w:t xml:space="preserve"> تبدأ من 5000 ريال سعودي، وتختلف تكلفة الاستعلام الواحد حسب نوع الخدمة (مثلاً: 12 ريالاً لبيانات السجل التجاري الكاملة، 7 ريالات لبيانات الموظفين).</w:t>
      </w:r>
    </w:p>
    <w:p>
      <w:pPr>
        <w:pStyle w:val="MdListItem"/>
        <w:numPr>
          <w:ilvl w:val="0"/>
          <w:numId w:val="2"/>
        </w:numPr>
      </w:pPr>
      <w:r>
        <w:rPr>
          <w:rStyle w:val="MdStrong"/>
          <w:b/>
          <w:bCs/>
        </w:rPr>
        <w:t xml:space="preserve">باقة الشركات (Enterprise):</w:t>
      </w:r>
      <w:r>
        <w:t xml:space="preserve"> تسعير مخصص للشركات ذات الحجم الكبير من الاستعلامات.</w:t>
      </w:r>
    </w:p>
    <w:p>
      <w:pPr>
        <w:pStyle w:val="MdSpace"/>
        <w:spacing w:before="0" w:after="60"/>
      </w:pPr>
    </w:p>
    <w:p>
      <w:pPr>
        <w:pStyle w:val="Heading3"/>
        <w:pStyle w:val="MdHeading3"/>
      </w:pPr>
      <w:r>
        <w:t xml:space="preserve">قيمة التكامل مع "واثق" لنظام CyberTrust KSA:</w:t>
      </w:r>
    </w:p>
    <w:p>
      <w:pPr>
        <w:pStyle w:val="MdListItem"/>
        <w:numPr>
          <w:ilvl w:val="0"/>
          <w:numId w:val="2"/>
        </w:numPr>
      </w:pPr>
      <w:r>
        <w:rPr>
          <w:rStyle w:val="MdStrong"/>
          <w:b/>
          <w:bCs/>
        </w:rPr>
        <w:t xml:space="preserve">التعبئة التلقائية للبيانات:</w:t>
      </w:r>
      <w:r>
        <w:t xml:space="preserve"> يمكن للنظام سحب اسم الشركة، نشاطها، ورأس مالها بمجرد إدخال رقم السجل التجاري.</w:t>
      </w:r>
    </w:p>
    <w:p>
      <w:pPr>
        <w:pStyle w:val="MdListItem"/>
        <w:numPr>
          <w:ilvl w:val="0"/>
          <w:numId w:val="2"/>
        </w:numPr>
      </w:pPr>
      <w:r>
        <w:rPr>
          <w:rStyle w:val="MdStrong"/>
          <w:b/>
          <w:bCs/>
        </w:rPr>
        <w:t xml:space="preserve">تصنيف الشركات:</w:t>
      </w:r>
      <w:r>
        <w:t xml:space="preserve"> استخدام "الأنشطة التجارية" و "عدد الموظفين" لتحديد التصنيف المناسب للشركة وفقاً لمتطلبات NCA (مثل: حيوية، غير حيوية).</w:t>
      </w:r>
    </w:p>
    <w:p>
      <w:pPr>
        <w:pStyle w:val="MdListItem"/>
        <w:numPr>
          <w:ilvl w:val="0"/>
          <w:numId w:val="2"/>
        </w:numPr>
      </w:pPr>
      <w:r>
        <w:rPr>
          <w:rStyle w:val="MdStrong"/>
          <w:b/>
          <w:bCs/>
        </w:rPr>
        <w:t xml:space="preserve">التحقق من الهوية:</w:t>
      </w:r>
      <w:r>
        <w:t xml:space="preserve"> التأكد من الوضع القانوني للشركة والمديرين المفوضين قبل بدء عملية التدقيق.</w:t>
      </w:r>
    </w:p>
    <w:p>
      <w:pPr>
        <w:pStyle w:val="MdSpace"/>
        <w:spacing w:before="0" w:after="60"/>
      </w:pPr>
    </w:p>
    <w:p>
      <w:pPr>
        <w:pStyle w:val="Heading2"/>
        <w:pStyle w:val="MdHeading2"/>
      </w:pPr>
      <w:r>
        <w:t xml:space="preserve">3. التوصيات والخطوات التالية</w:t>
      </w:r>
    </w:p>
    <w:p>
      <w:pPr>
        <w:pStyle w:val="MdParagraph"/>
      </w:pPr>
      <w:r>
        <w:t xml:space="preserve">بناءً على التحليل السابق، نوصي بالخطوات التالية لإكمال بناء نظام CyberTrust KSA:</w:t>
      </w:r>
    </w:p>
    <w:p>
      <w:pPr>
        <w:pStyle w:val="MdSpace"/>
        <w:spacing w:before="0" w:after="60"/>
      </w:pPr>
    </w:p>
    <w:p>
      <w:pPr>
        <w:pStyle w:val="MdListItem"/>
        <w:numPr>
          <w:ilvl w:val="0"/>
          <w:numId w:val="3"/>
        </w:numPr>
      </w:pPr>
      <w:r>
        <w:rPr>
          <w:rStyle w:val="MdStrong"/>
          <w:b/>
          <w:bCs/>
        </w:rPr>
        <w:t xml:space="preserve">تطوير محرك الربط (Mapping Engine):</w:t>
      </w:r>
      <w:r>
        <w:t xml:space="preserve"> بناء وحدة برمجية داخل النظام تقوم بربط الضوابط المتشابهة بين المعايير المختلفة، وتحديث حالة الامتثال تلقائياً عند إجابة المستخدم على سؤال يغطي عدة ضوابط.</w:t>
      </w:r>
    </w:p>
    <w:p>
      <w:pPr>
        <w:pStyle w:val="MdListItem"/>
        <w:numPr>
          <w:ilvl w:val="0"/>
          <w:numId w:val="3"/>
        </w:numPr>
      </w:pPr>
      <w:r>
        <w:rPr>
          <w:rStyle w:val="MdStrong"/>
          <w:b/>
          <w:bCs/>
        </w:rPr>
        <w:t xml:space="preserve">تكامل واجهة برمجة تطبيقات "واثق":</w:t>
      </w:r>
      <w:r>
        <w:t xml:space="preserve"> البدء في عملية التكامل التقني مع واجهة برمجة تطبيقات "واثق" لسحب البيانات الأساسية للشركات بشكل آلي. يجب البدء بالباقة التجريبية ثم الانتقال إلى الباقات المدفوعة حسب الحاجة.</w:t>
      </w:r>
    </w:p>
    <w:p>
      <w:pPr>
        <w:pStyle w:val="MdListItem"/>
        <w:numPr>
          <w:ilvl w:val="0"/>
          <w:numId w:val="3"/>
        </w:numPr>
      </w:pPr>
      <w:r>
        <w:rPr>
          <w:rStyle w:val="MdStrong"/>
          <w:b/>
          <w:bCs/>
        </w:rPr>
        <w:t xml:space="preserve">تصميم واجهة المستخدم (UI/UX) الذكية:</w:t>
      </w:r>
      <w:r>
        <w:t xml:space="preserve"> بناء واجهة مستخدم تركز على تجربة المستخدم، حيث تكون الأسئلة ديناميكية وتعتمد على إجابات المستخدم السابقة وتصنيف الشركة.</w:t>
      </w:r>
    </w:p>
    <w:p>
      <w:pPr>
        <w:pStyle w:val="MdListItem"/>
        <w:numPr>
          <w:ilvl w:val="0"/>
          <w:numId w:val="3"/>
        </w:numPr>
      </w:pPr>
      <w:r>
        <w:rPr>
          <w:rStyle w:val="MdStrong"/>
          <w:b/>
          <w:bCs/>
        </w:rPr>
        <w:t xml:space="preserve">تطوير محرك تحليل الأدلة (AI Evidence Analyzer):</w:t>
      </w:r>
      <w:r>
        <w:t xml:space="preserve"> البدء في البحث والتطوير لدمج تقنيات الذكاء الاصطناعي (OCR و NLP) لتحليل المستندات المرفقة تلقائياً والتحقق من مطابقتها للضوابط.</w:t>
      </w:r>
    </w:p>
    <w:p>
      <w:pPr>
        <w:pStyle w:val="MdListItem"/>
        <w:numPr>
          <w:ilvl w:val="0"/>
          <w:numId w:val="3"/>
        </w:numPr>
      </w:pPr>
      <w:r>
        <w:rPr>
          <w:rStyle w:val="MdStrong"/>
          <w:b/>
          <w:bCs/>
        </w:rPr>
        <w:t xml:space="preserve">الاستضافة والامتثال القانوني:</w:t>
      </w:r>
      <w:r>
        <w:t xml:space="preserve"> التأكد من أن حلول الاستضافة تتوافق مع متطلبات NCA لسيادة البيانات، والبدء في إجراءات الحصول على شهادة اعتماد المنصة من NCA.</w:t>
      </w:r>
    </w:p>
    <w:p>
      <w:pPr>
        <w:pStyle w:val="MdSpace"/>
        <w:spacing w:before="0" w:after="60"/>
      </w:pPr>
    </w:p>
    <w:p>
      <w:pPr>
        <w:pStyle w:val="Heading2"/>
        <w:pStyle w:val="MdHeading2"/>
      </w:pPr>
      <w:r>
        <w:t xml:space="preserve">المراجع</w:t>
      </w:r>
    </w:p>
    <w:p>
      <w:pPr>
        <w:pStyle w:val="MdListItem"/>
        <w:numPr>
          <w:ilvl w:val="0"/>
          <w:numId w:val="2"/>
        </w:numPr>
      </w:pPr>
      <w:hyperlink w:history="1" r:id="rIdxv8lm-rg3vnphutkbohys">
        <w:r>
          <w:rPr>
            <w:rStyle w:val="MdLink"/>
          </w:rPr>
          <w:t xml:space="preserve">Wathq Developer Portal</w:t>
        </w:r>
      </w:hyperlink>
    </w:p>
    <w:p>
      <w:pPr>
        <w:pStyle w:val="MdListItem"/>
        <w:numPr>
          <w:ilvl w:val="0"/>
          <w:numId w:val="2"/>
        </w:numPr>
      </w:pPr>
      <w:hyperlink w:history="1" r:id="rIdnx92cojc1aptkaxolfkju">
        <w:r>
          <w:rPr>
            <w:rStyle w:val="MdLink"/>
          </w:rPr>
          <w:t xml:space="preserve">CyberTrust KSA Consolidated Compliance Rules.xlsx</w:t>
        </w:r>
      </w:hyperlink>
    </w:p>
    <w:p>
      <w:pPr>
        <w:pStyle w:val="MdListItem"/>
        <w:numPr>
          <w:ilvl w:val="0"/>
          <w:numId w:val="2"/>
        </w:numPr>
      </w:pPr>
      <w:hyperlink w:history="1" r:id="rIdmtk1ssxgjjcvjfvpux35a">
        <w:r>
          <w:rPr>
            <w:rStyle w:val="MdLink"/>
          </w:rPr>
          <w:t xml:space="preserve">CyberTrust KSA Mapping Analysis.xlsx</w:t>
        </w:r>
      </w:hyperlink>
    </w:p>
    <w:p>
      <w:pPr>
        <w:pStyle w:val="MdListItem"/>
        <w:numPr>
          <w:ilvl w:val="0"/>
          <w:numId w:val="2"/>
        </w:numPr>
      </w:pPr>
      <w:hyperlink w:history="1" r:id="rIdvmeehf6whzmajwgcvblnp">
        <w:r>
          <w:rPr>
            <w:rStyle w:val="MdLink"/>
          </w:rPr>
          <w:t xml:space="preserve">Wathq API Research.md</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v8lm-rg3vnphutkbohys" Type="http://schemas.openxmlformats.org/officeDocument/2006/relationships/hyperlink" Target="https://developer.wathq.sa/en/apis" TargetMode="External"/><Relationship Id="rIdnx92cojc1aptkaxolfkju" Type="http://schemas.openxmlformats.org/officeDocument/2006/relationships/hyperlink" Target="CyberTrust_KSA_Consolidated_Compliance_Rules_v2.xlsx" TargetMode="External"/><Relationship Id="rIdmtk1ssxgjjcvjfvpux35a" Type="http://schemas.openxmlformats.org/officeDocument/2006/relationships/hyperlink" Target="CyberTrust_KSA_Mapping_Analysis.xlsx" TargetMode="External"/><Relationship Id="rIdvmeehf6whzmajwgcvblnp" Type="http://schemas.openxmlformats.org/officeDocument/2006/relationships/hyperlink" Target="wathq_api_research.md"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2026-06-08T08:27:29.859Z</dcterms:created>
  <dcterms:modified xsi:type="dcterms:W3CDTF">2026-06-08T08:27:29.859Z</dcterms:modified>
</cp:coreProperties>
</file>

<file path=docProps/custom.xml><?xml version="1.0" encoding="utf-8"?>
<Properties xmlns="http://schemas.openxmlformats.org/officeDocument/2006/custom-properties" xmlns:vt="http://schemas.openxmlformats.org/officeDocument/2006/docPropsVTypes"/>
</file>