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بحث حول الربط مع نظام نفاذ (Nafath) في السعودية</w:t>
      </w:r>
    </w:p>
    <w:p>
      <w:pPr>
        <w:pStyle w:val="MdParagraph"/>
      </w:pPr>
      <w:r>
        <w:t xml:space="preserve">بناءً على البحث في المصادر الرسمية ومنصة "علم" (Elm)، تم استخلاص المعلومات التالية حول الربط مع نظام نفاذ:</w:t>
      </w:r>
    </w:p>
    <w:p>
      <w:pPr>
        <w:pStyle w:val="MdSpace"/>
        <w:spacing w:before="0" w:after="60"/>
      </w:pPr>
    </w:p>
    <w:p>
      <w:pPr>
        <w:pStyle w:val="Heading2"/>
        <w:pStyle w:val="MdHeading2"/>
      </w:pPr>
      <w:r>
        <w:t xml:space="preserve">1. توفر الـ APIs (Availability)</w:t>
      </w:r>
    </w:p>
    <w:p>
      <w:pPr>
        <w:pStyle w:val="MdParagraph"/>
      </w:pPr>
      <w:r>
        <w:t xml:space="preserve">نعم، يوفر نظام نفاذ واجهات برمجة تطبيقات (APIs) تتيح لمزودي الخدمة (الشركات والجهات الحكومية) التحقق من هوية المستفيدين. تتم عملية الربط من خلال منصة "نفاذ" الوطنية التي يديرها مركز المعلومات الوطني (NIC).</w:t>
      </w:r>
    </w:p>
    <w:p>
      <w:pPr>
        <w:pStyle w:val="MdSpace"/>
        <w:spacing w:before="0" w:after="60"/>
      </w:pPr>
    </w:p>
    <w:p>
      <w:pPr>
        <w:pStyle w:val="Heading2"/>
        <w:pStyle w:val="MdHeading2"/>
      </w:pPr>
      <w:r>
        <w:t xml:space="preserve">2. جهة الربط والتشغيل</w:t>
      </w:r>
    </w:p>
    <w:p>
      <w:pPr>
        <w:pStyle w:val="MdParagraph"/>
      </w:pPr>
      <w:r>
        <w:t xml:space="preserve">تعتبر شركة </w:t>
      </w:r>
      <w:r>
        <w:rPr>
          <w:rStyle w:val="MdStrong"/>
          <w:b/>
          <w:bCs/>
        </w:rPr>
        <w:t xml:space="preserve">"علم" (Elm)</w:t>
      </w:r>
      <w:r>
        <w:t xml:space="preserve"> هي الشريك التقني والمشغل الرسمي لخدمات الربط مع نفاذ للقطاع الخاص. يجب على الشركات الراغبة في الربط التعاقد مع شركة "علم" للحصول على صلاحيات الوصول والـ APIs اللازمة.</w:t>
      </w:r>
    </w:p>
    <w:p>
      <w:pPr>
        <w:pStyle w:val="MdSpace"/>
        <w:spacing w:before="0" w:after="60"/>
      </w:pPr>
    </w:p>
    <w:p>
      <w:pPr>
        <w:pStyle w:val="Heading2"/>
        <w:pStyle w:val="MdHeading2"/>
      </w:pPr>
      <w:r>
        <w:t xml:space="preserve">3. هل الربط مجاني؟ (Cost)</w:t>
      </w:r>
    </w:p>
    <w:p>
      <w:pPr>
        <w:pStyle w:val="MdParagraph"/>
      </w:pPr>
      <w:r>
        <w:rPr>
          <w:rStyle w:val="MdStrong"/>
          <w:b/>
          <w:bCs/>
        </w:rPr>
        <w:t xml:space="preserve">لا، الربط مع نفاذ للقطاع الخاص ليس مجانياً.</w:t>
      </w:r>
      <w:r>
        <w:t xml:space="preserve"> تفرض شركة "علم" رسوماً مقابل هذه الخدمات، وعادة ما تكون هيكلة الرسوم كالتالي:</w:t>
      </w:r>
    </w:p>
    <w:p>
      <w:pPr>
        <w:pStyle w:val="MdListItem"/>
        <w:numPr>
          <w:ilvl w:val="0"/>
          <w:numId w:val="2"/>
        </w:numPr>
      </w:pPr>
      <w:r>
        <w:rPr>
          <w:rStyle w:val="MdStrong"/>
          <w:b/>
          <w:bCs/>
        </w:rPr>
        <w:t xml:space="preserve">رسوم تأسيس (Setup Fees):</w:t>
      </w:r>
      <w:r>
        <w:t xml:space="preserve"> تدفع لمرة واحدة عند بدء الربط.</w:t>
      </w:r>
    </w:p>
    <w:p>
      <w:pPr>
        <w:pStyle w:val="MdListItem"/>
        <w:numPr>
          <w:ilvl w:val="0"/>
          <w:numId w:val="2"/>
        </w:numPr>
      </w:pPr>
      <w:r>
        <w:rPr>
          <w:rStyle w:val="MdStrong"/>
          <w:b/>
          <w:bCs/>
        </w:rPr>
        <w:t xml:space="preserve">رسوم اشتراك سنوي (Annual Subscription):</w:t>
      </w:r>
      <w:r>
        <w:t xml:space="preserve"> لاستمرارية الخدمة.</w:t>
      </w:r>
    </w:p>
    <w:p>
      <w:pPr>
        <w:pStyle w:val="MdListItem"/>
        <w:numPr>
          <w:ilvl w:val="0"/>
          <w:numId w:val="2"/>
        </w:numPr>
      </w:pPr>
      <w:r>
        <w:rPr>
          <w:rStyle w:val="MdStrong"/>
          <w:b/>
          <w:bCs/>
        </w:rPr>
        <w:t xml:space="preserve">رسوم لكل عملية (Transaction Fees):</w:t>
      </w:r>
      <w:r>
        <w:t xml:space="preserve"> يتم احتساب مبلغ معين مقابل كل عملية تحقق من الهوية تتم عبر النظام.</w:t>
      </w:r>
    </w:p>
    <w:p>
      <w:pPr>
        <w:pStyle w:val="MdSpace"/>
        <w:spacing w:before="0" w:after="60"/>
      </w:pPr>
    </w:p>
    <w:p>
      <w:pPr>
        <w:pStyle w:val="MdParagraph"/>
      </w:pPr>
      <w:r>
        <w:rPr>
          <w:rStyle w:val="MdEm"/>
          <w:i/>
          <w:iCs/>
        </w:rPr>
        <w:t xml:space="preserve">ملاحظة: تختلف الأسعار بناءً على حجم العمليات ونوع باقة الخدمة المختارة.</w:t>
      </w:r>
    </w:p>
    <w:p>
      <w:pPr>
        <w:pStyle w:val="MdSpace"/>
        <w:spacing w:before="0" w:after="60"/>
      </w:pPr>
    </w:p>
    <w:p>
      <w:pPr>
        <w:pStyle w:val="Heading2"/>
        <w:pStyle w:val="MdHeading2"/>
      </w:pPr>
      <w:r>
        <w:t xml:space="preserve">4. كيفية الربط (Integration Process)</w:t>
      </w:r>
    </w:p>
    <w:p>
      <w:pPr>
        <w:pStyle w:val="MdParagraph"/>
      </w:pPr>
      <w:r>
        <w:t xml:space="preserve">تتضمن خطوات الربط عادةً ما يلي:</w:t>
      </w:r>
    </w:p>
    <w:p>
      <w:pPr>
        <w:pStyle w:val="MdListItem"/>
        <w:numPr>
          <w:ilvl w:val="0"/>
          <w:numId w:val="3"/>
        </w:numPr>
      </w:pPr>
      <w:r>
        <w:rPr>
          <w:rStyle w:val="MdStrong"/>
          <w:b/>
          <w:bCs/>
        </w:rPr>
        <w:t xml:space="preserve">التعاقد:</w:t>
      </w:r>
      <w:r>
        <w:t xml:space="preserve"> التواصل مع شركة "علم" وتقديم طلب الربط مع نظام نفاذ.</w:t>
      </w:r>
    </w:p>
    <w:p>
      <w:pPr>
        <w:pStyle w:val="MdListItem"/>
        <w:numPr>
          <w:ilvl w:val="0"/>
          <w:numId w:val="3"/>
        </w:numPr>
      </w:pPr>
      <w:r>
        <w:rPr>
          <w:rStyle w:val="MdStrong"/>
          <w:b/>
          <w:bCs/>
        </w:rPr>
        <w:t xml:space="preserve">التسجيل في منصة نفاذ:</w:t>
      </w:r>
      <w:r>
        <w:t xml:space="preserve"> الحصول على حساب لمزود الخدمة.</w:t>
      </w:r>
    </w:p>
    <w:p>
      <w:pPr>
        <w:pStyle w:val="MdListItem"/>
        <w:numPr>
          <w:ilvl w:val="0"/>
          <w:numId w:val="3"/>
        </w:numPr>
      </w:pPr>
      <w:r>
        <w:rPr>
          <w:rStyle w:val="MdStrong"/>
          <w:b/>
          <w:bCs/>
        </w:rPr>
        <w:t xml:space="preserve">التكامل التقني:</w:t>
      </w:r>
      <w:r>
        <w:t xml:space="preserve"> استخدام وثائق الـ API المقدمة من "علم" لربط أنظمة الشركة الداخلية مع نظام نفاذ.</w:t>
      </w:r>
    </w:p>
    <w:p>
      <w:pPr>
        <w:pStyle w:val="MdListItem"/>
        <w:numPr>
          <w:ilvl w:val="0"/>
          <w:numId w:val="3"/>
        </w:numPr>
      </w:pPr>
      <w:r>
        <w:rPr>
          <w:rStyle w:val="MdStrong"/>
          <w:b/>
          <w:bCs/>
        </w:rPr>
        <w:t xml:space="preserve">الاختبار:</w:t>
      </w:r>
      <w:r>
        <w:t xml:space="preserve"> إجراء اختبارات في بيئة تجريبية (Sandbox) للتأكد من صحة الربط.</w:t>
      </w:r>
    </w:p>
    <w:p>
      <w:pPr>
        <w:pStyle w:val="MdListItem"/>
        <w:numPr>
          <w:ilvl w:val="0"/>
          <w:numId w:val="3"/>
        </w:numPr>
      </w:pPr>
      <w:r>
        <w:rPr>
          <w:rStyle w:val="MdStrong"/>
          <w:b/>
          <w:bCs/>
        </w:rPr>
        <w:t xml:space="preserve">الإطلاق:</w:t>
      </w:r>
      <w:r>
        <w:t xml:space="preserve"> الانتقال إلى البيئة الحية بعد اعتماد الاختبارات.</w:t>
      </w:r>
    </w:p>
    <w:p>
      <w:pPr>
        <w:pStyle w:val="MdSpace"/>
        <w:spacing w:before="0" w:after="60"/>
      </w:pPr>
    </w:p>
    <w:p>
      <w:pPr>
        <w:pStyle w:val="Heading2"/>
        <w:pStyle w:val="MdHeading2"/>
      </w:pPr>
      <w:r>
        <w:t xml:space="preserve">5. الخدمات المقدمة عبر الـ API</w:t>
      </w:r>
    </w:p>
    <w:p>
      <w:pPr>
        <w:pStyle w:val="MdListItem"/>
        <w:numPr>
          <w:ilvl w:val="0"/>
          <w:numId w:val="2"/>
        </w:numPr>
      </w:pPr>
      <w:r>
        <w:t xml:space="preserve">التحقق من الهوية باستخدام بيانات أبشر.</w:t>
      </w:r>
    </w:p>
    <w:p>
      <w:pPr>
        <w:pStyle w:val="MdListItem"/>
        <w:numPr>
          <w:ilvl w:val="0"/>
          <w:numId w:val="2"/>
        </w:numPr>
      </w:pPr>
      <w:r>
        <w:t xml:space="preserve">التحقق عبر رمز التحقق (OTP).</w:t>
      </w:r>
    </w:p>
    <w:p>
      <w:pPr>
        <w:pStyle w:val="MdListItem"/>
        <w:numPr>
          <w:ilvl w:val="0"/>
          <w:numId w:val="2"/>
        </w:numPr>
      </w:pPr>
      <w:r>
        <w:t xml:space="preserve">التوثيق عبر تطبيق نفاذ (السمات الحيوية).</w:t>
      </w:r>
    </w:p>
    <w:p>
      <w:pPr>
        <w:pStyle w:val="MdListItem"/>
        <w:numPr>
          <w:ilvl w:val="0"/>
          <w:numId w:val="2"/>
        </w:numPr>
      </w:pPr>
      <w:r>
        <w:t xml:space="preserve">استرجاع بيانات المستفيد الأساسية.</w:t>
      </w:r>
    </w:p>
    <w:p>
      <w:pPr>
        <w:pStyle w:val="MdSpace"/>
        <w:spacing w:before="0" w:after="60"/>
      </w:pPr>
    </w:p>
    <w:p>
      <w:pPr>
        <w:pStyle w:val="Heading2"/>
        <w:pStyle w:val="MdHeading2"/>
      </w:pPr>
      <w:r>
        <w:t xml:space="preserve">التوصية لـ CyberTrust KSA</w:t>
      </w:r>
    </w:p>
    <w:p>
      <w:pPr>
        <w:pStyle w:val="MdParagraph"/>
      </w:pPr>
      <w:r>
        <w:t xml:space="preserve">بما أن منصة CyberTrust KSA تستهدف أتمتة الامتثال، فإن الربط مع نفاذ يعد خطوة حيوية للتحقق من هوية المستخدمين والمسؤولين عن الامتثال داخل المنصة، ولكن يجب وضع ميزانية مخصصة لرسوم شركة "علم" ضمن التكاليف التشغيلية للمشروع.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2026-06-08T07:48:10.979Z</dcterms:created>
  <dcterms:modified xsi:type="dcterms:W3CDTF">2026-06-08T07:48:10.979Z</dcterms:modified>
</cp:coreProperties>
</file>

<file path=docProps/custom.xml><?xml version="1.0" encoding="utf-8"?>
<Properties xmlns="http://schemas.openxmlformats.org/officeDocument/2006/custom-properties" xmlns:vt="http://schemas.openxmlformats.org/officeDocument/2006/docPropsVTypes"/>
</file>