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تحليل الفجوات ومدى اكتمال منصة CyberTrust KSA</w:t>
      </w:r>
    </w:p>
    <w:p>
      <w:pPr>
        <w:pStyle w:val="MdParagraph"/>
      </w:pPr>
      <w:r>
        <w:t xml:space="preserve">بناءً على المستندات التقنية المقدمة (CyberTrust_KSA_Platform_Steps.pdf, CyberTrust_KSA_Developer_Prototype_v3.1.pdf, CyberTrust_KSA_Classification_Framework_Combined.pdf)، تظهر منصة CyberTrust KSA كحل شامل ومدفوع بالذكاء الاصطناعي لتبسيط الامتثال لمعايير الهيئة الوطنية للأمن السيبراني (NCA) ومتطلبات البائعين مثل SABIC و Aramco في المملكة العربية السعودية. الفكرة الأساسية قوية وتغطي دورة حياة الامتثال بأكملها من التسجيل إلى الشهادة والامتثال المستمر.</w:t>
      </w:r>
    </w:p>
    <w:p>
      <w:pPr>
        <w:pStyle w:val="MdSpace"/>
        <w:spacing w:before="0" w:after="60"/>
      </w:pPr>
    </w:p>
    <w:p>
      <w:pPr>
        <w:pStyle w:val="MdParagraph"/>
      </w:pPr>
      <w:r>
        <w:t xml:space="preserve">ومع ذلك، عند تحويل هذه الفكرة إلى نظام حقيقي، هناك بعض الفجوات المحتملة والاعتبارات التي يجب معالجتها لضمان التنفيذ الناجح والفعالية على المدى الطويل.</w:t>
      </w:r>
    </w:p>
    <w:p>
      <w:pPr>
        <w:pStyle w:val="MdSpace"/>
        <w:spacing w:before="0" w:after="60"/>
      </w:pPr>
    </w:p>
    <w:p>
      <w:pPr>
        <w:pStyle w:val="Heading2"/>
        <w:pStyle w:val="MdHeading2"/>
      </w:pPr>
      <w:r>
        <w:t xml:space="preserve">1. اكتمال الفكرة (Completeness of the Idea)</w:t>
      </w:r>
    </w:p>
    <w:p>
      <w:pPr>
        <w:pStyle w:val="MdParagraph"/>
      </w:pPr>
      <w:r>
        <w:t xml:space="preserve">الفكرة العامة للمنصة مكتملة بشكل جيد من حيث تغطية مراحل الامتثال الرئيسية. يوضح المستند الخاص بخطوات المنصة (Platform Steps) بوضوح رحلة المستخدم من التسجيل إلى الشهادة والامتثال المستمر، مع دمج الذكاء الاصطناعي في كل مرحلة. كما أن دمج أطر عمل متعددة (NCA, SABIC, Aramco) في عملية تصنيف واحدة يعد نقطة قوة كبيرة.</w:t>
      </w:r>
    </w:p>
    <w:p>
      <w:pPr>
        <w:pStyle w:val="MdSpace"/>
        <w:spacing w:before="0" w:after="60"/>
      </w:pPr>
    </w:p>
    <w:p>
      <w:pPr>
        <w:pStyle w:val="MdParagraph"/>
      </w:pPr>
      <w:r>
        <w:rPr>
          <w:rStyle w:val="MdStrong"/>
          <w:b/>
          <w:bCs/>
        </w:rPr>
        <w:t xml:space="preserve">نقاط القوة:</w:t>
      </w:r>
    </w:p>
    <w:p>
      <w:pPr>
        <w:pStyle w:val="MdSpace"/>
        <w:spacing w:before="0" w:after="60"/>
      </w:pPr>
    </w:p>
    <w:p>
      <w:pPr>
        <w:pStyle w:val="MdListItem"/>
        <w:numPr>
          <w:ilvl w:val="0"/>
          <w:numId w:val="2"/>
        </w:numPr>
      </w:pPr>
      <w:r>
        <w:rPr>
          <w:rStyle w:val="MdStrong"/>
          <w:b/>
          <w:bCs/>
        </w:rPr>
        <w:t xml:space="preserve">رحلة مستخدم واضحة:</w:t>
      </w:r>
      <w:r>
        <w:t xml:space="preserve"> تم تحديد 10 مراحل و 23 خطوة تغطي دورة حياة الامتثال بالكامل [1].</w:t>
      </w:r>
    </w:p>
    <w:p>
      <w:pPr>
        <w:pStyle w:val="MdListItem"/>
        <w:numPr>
          <w:ilvl w:val="0"/>
          <w:numId w:val="2"/>
        </w:numPr>
      </w:pPr>
      <w:r>
        <w:rPr>
          <w:rStyle w:val="MdStrong"/>
          <w:b/>
          <w:bCs/>
        </w:rPr>
        <w:t xml:space="preserve">تصنيف ذكي بالذكاء الاصطناعي:</w:t>
      </w:r>
      <w:r>
        <w:t xml:space="preserve"> يستخدم استبيانًا ذكيًا لتحديد مجموعات التحكم الدقيقة بناءً على القطاع والحجم وأهداف البائعين [2].</w:t>
      </w:r>
    </w:p>
    <w:p>
      <w:pPr>
        <w:pStyle w:val="MdListItem"/>
        <w:numPr>
          <w:ilvl w:val="0"/>
          <w:numId w:val="2"/>
        </w:numPr>
      </w:pPr>
      <w:r>
        <w:rPr>
          <w:rStyle w:val="MdStrong"/>
          <w:b/>
          <w:bCs/>
        </w:rPr>
        <w:t xml:space="preserve">دعم متعدد الأطر:</w:t>
      </w:r>
      <w:r>
        <w:t xml:space="preserve"> القدرة على تقييم الامتثال لمعايير NCA ومتطلبات SABIC CyberTrust و Saudi Aramco CCC في وقت واحد [2].</w:t>
      </w:r>
    </w:p>
    <w:p>
      <w:pPr>
        <w:pStyle w:val="MdListItem"/>
        <w:numPr>
          <w:ilvl w:val="0"/>
          <w:numId w:val="2"/>
        </w:numPr>
      </w:pPr>
      <w:r>
        <w:rPr>
          <w:rStyle w:val="MdStrong"/>
          <w:b/>
          <w:bCs/>
        </w:rPr>
        <w:t xml:space="preserve">جمع الأدلة الآلي:</w:t>
      </w:r>
      <w:r>
        <w:t xml:space="preserve"> الاتصال بأنظمة المؤسسة عبر تكاملات OAuth (مثل Microsoft 365, Azure AD, AWS/Azure, Qualys/Tenable, SIEM) لجمع الأدلة تلقائيًا [1].</w:t>
      </w:r>
    </w:p>
    <w:p>
      <w:pPr>
        <w:pStyle w:val="MdListItem"/>
        <w:numPr>
          <w:ilvl w:val="0"/>
          <w:numId w:val="2"/>
        </w:numPr>
      </w:pPr>
      <w:r>
        <w:rPr>
          <w:rStyle w:val="MdStrong"/>
          <w:b/>
          <w:bCs/>
        </w:rPr>
        <w:t xml:space="preserve">محرك NLP للذكاء الاصطناعي:</w:t>
      </w:r>
      <w:r>
        <w:t xml:space="preserve"> لتحليل الأدلة اليدوية وتعيينها للضوابط ذات الصلة، مع تحديد درجة الثقة [1].</w:t>
      </w:r>
    </w:p>
    <w:p>
      <w:pPr>
        <w:pStyle w:val="MdListItem"/>
        <w:numPr>
          <w:ilvl w:val="0"/>
          <w:numId w:val="2"/>
        </w:numPr>
      </w:pPr>
      <w:r>
        <w:rPr>
          <w:rStyle w:val="MdStrong"/>
          <w:b/>
          <w:bCs/>
        </w:rPr>
        <w:t xml:space="preserve">تحليل الفجوات التنبؤي:</w:t>
      </w:r>
      <w:r>
        <w:t xml:space="preserve"> تحديد الفجوات وتعيين مستويات المخاطر، مع محرك تنبؤي للمخاطر يحسب احتمالية اكتشاف المراجع [1].</w:t>
      </w:r>
    </w:p>
    <w:p>
      <w:pPr>
        <w:pStyle w:val="MdListItem"/>
        <w:numPr>
          <w:ilvl w:val="0"/>
          <w:numId w:val="2"/>
        </w:numPr>
      </w:pPr>
      <w:r>
        <w:rPr>
          <w:rStyle w:val="MdStrong"/>
          <w:b/>
          <w:bCs/>
        </w:rPr>
        <w:t xml:space="preserve">أتمتة المعالجة:</w:t>
      </w:r>
      <w:r>
        <w:t xml:space="preserve"> خطط معالجة يتم إنشاؤها بواسطة الذكاء الاصطناعي، ومولد سياسات بالذكاء الاصطناعي، وسكربتات إصلاح تلقائية للضوابط التقنية [1].</w:t>
      </w:r>
    </w:p>
    <w:p>
      <w:pPr>
        <w:pStyle w:val="MdListItem"/>
        <w:numPr>
          <w:ilvl w:val="0"/>
          <w:numId w:val="2"/>
        </w:numPr>
      </w:pPr>
      <w:r>
        <w:rPr>
          <w:rStyle w:val="MdStrong"/>
          <w:b/>
          <w:bCs/>
        </w:rPr>
        <w:t xml:space="preserve">وحدة التدريب:</w:t>
      </w:r>
      <w:r>
        <w:t xml:space="preserve"> حملات تدريب مخصصة للموظفين ومحاكاة التصيد الاحتيالي [1].</w:t>
      </w:r>
    </w:p>
    <w:p>
      <w:pPr>
        <w:pStyle w:val="MdListItem"/>
        <w:numPr>
          <w:ilvl w:val="0"/>
          <w:numId w:val="2"/>
        </w:numPr>
      </w:pPr>
      <w:r>
        <w:rPr>
          <w:rStyle w:val="MdStrong"/>
          <w:b/>
          <w:bCs/>
        </w:rPr>
        <w:t xml:space="preserve">محاكي المراجع الافتراضي:</w:t>
      </w:r>
      <w:r>
        <w:t xml:space="preserve"> يسمح للمستخدمين بمحاكاة التدقيق قبل التدقيق الفعلي [1].</w:t>
      </w:r>
    </w:p>
    <w:p>
      <w:pPr>
        <w:pStyle w:val="MdListItem"/>
        <w:numPr>
          <w:ilvl w:val="0"/>
          <w:numId w:val="2"/>
        </w:numPr>
      </w:pPr>
      <w:r>
        <w:rPr>
          <w:rStyle w:val="MdStrong"/>
          <w:b/>
          <w:bCs/>
        </w:rPr>
        <w:t xml:space="preserve">الامتثال المستمر:</w:t>
      </w:r>
      <w:r>
        <w:t xml:space="preserve"> تحديث يومي لدرجة الامتثال، ومزامنة تلقائية للأدلة، ومركز تنبيهات، وتقارير شهرية [1].</w:t>
      </w:r>
    </w:p>
    <w:p>
      <w:pPr>
        <w:pStyle w:val="MdSpace"/>
        <w:spacing w:before="0" w:after="60"/>
      </w:pPr>
    </w:p>
    <w:p>
      <w:pPr>
        <w:pStyle w:val="Heading2"/>
        <w:pStyle w:val="MdHeading2"/>
      </w:pPr>
      <w:r>
        <w:t xml:space="preserve">2. الفجوات التقنية والتشغيلية (Technical and Operational Gaps)</w:t>
      </w:r>
    </w:p>
    <w:p>
      <w:pPr>
        <w:pStyle w:val="MdParagraph"/>
      </w:pPr>
      <w:r>
        <w:t xml:space="preserve">على الرغم من اكتمال الفكرة، هناك عدة فجوات واعتبارات حاسمة يجب معالجتها عند الانتقال إلى التنفيذ العملي:</w:t>
      </w:r>
    </w:p>
    <w:p>
      <w:pPr>
        <w:pStyle w:val="MdSpace"/>
        <w:spacing w:before="0" w:after="60"/>
      </w:pPr>
    </w:p>
    <w:p>
      <w:pPr>
        <w:pStyle w:val="Heading3"/>
        <w:pStyle w:val="MdHeading3"/>
      </w:pPr>
      <w:r>
        <w:t xml:space="preserve">2.1. التحقق من بيانات المستخدم (User Data Verification)</w:t>
      </w:r>
    </w:p>
    <w:p>
      <w:pPr>
        <w:pStyle w:val="MdListItem"/>
        <w:numPr>
          <w:ilvl w:val="0"/>
          <w:numId w:val="2"/>
        </w:numPr>
      </w:pPr>
      <w:r>
        <w:rPr>
          <w:rStyle w:val="MdStrong"/>
          <w:b/>
          <w:bCs/>
        </w:rPr>
        <w:t xml:space="preserve">الفجوة:</w:t>
      </w:r>
      <w:r>
        <w:t xml:space="preserve"> تعتمد عملية التسجيل والتصنيف الأولي على البيانات التي يدخلها المستخدم (مثل رقم السجل التجاري، القطاع، الإيرادات، حجم الموظفين). لا توجد تفاصيل حول كيفية التحقق من دقة هذه البيانات [1].</w:t>
      </w:r>
    </w:p>
    <w:p>
      <w:pPr>
        <w:pStyle w:val="MdListItem"/>
        <w:numPr>
          <w:ilvl w:val="0"/>
          <w:numId w:val="2"/>
        </w:numPr>
      </w:pPr>
      <w:r>
        <w:rPr>
          <w:rStyle w:val="MdStrong"/>
          <w:b/>
          <w:bCs/>
        </w:rPr>
        <w:t xml:space="preserve">التأثير:</w:t>
      </w:r>
      <w:r>
        <w:t xml:space="preserve"> قد يؤدي عدم التحقق إلى تصنيف غير صحيح للمؤسسة، مما يؤثر على دقة تقييم الامتثال والشهادة الصادرة.</w:t>
      </w:r>
    </w:p>
    <w:p>
      <w:pPr>
        <w:pStyle w:val="MdListItem"/>
        <w:numPr>
          <w:ilvl w:val="0"/>
          <w:numId w:val="2"/>
        </w:numPr>
      </w:pPr>
      <w:r>
        <w:rPr>
          <w:rStyle w:val="MdStrong"/>
          <w:b/>
          <w:bCs/>
        </w:rPr>
        <w:t xml:space="preserve">التوصية:</w:t>
      </w:r>
      <w:r>
        <w:t xml:space="preserve"> دمج آليات للتحقق من صحة البيانات المدخلة، مثل التكامل مع قواعد بيانات حكومية (مثل وزارة التجارة) للتحقق من السجل التجاري والقطاع وحجم المؤسسة. يمكن استخدام الذكاء الاصطناعي للكشف عن التناقضات في البيانات المدخلة.</w:t>
      </w:r>
    </w:p>
    <w:p>
      <w:pPr>
        <w:pStyle w:val="MdSpace"/>
        <w:spacing w:before="0" w:after="60"/>
      </w:pPr>
    </w:p>
    <w:p>
      <w:pPr>
        <w:pStyle w:val="Heading3"/>
        <w:pStyle w:val="MdHeading3"/>
      </w:pPr>
      <w:r>
        <w:t xml:space="preserve">2.2. نطاق وقدرات AI Co-Pilot (AI Co-Pilot Scope and Capabilities)</w:t>
      </w:r>
    </w:p>
    <w:p>
      <w:pPr>
        <w:pStyle w:val="MdListItem"/>
        <w:numPr>
          <w:ilvl w:val="0"/>
          <w:numId w:val="2"/>
        </w:numPr>
      </w:pPr>
      <w:r>
        <w:rPr>
          <w:rStyle w:val="MdStrong"/>
          <w:b/>
          <w:bCs/>
        </w:rPr>
        <w:t xml:space="preserve">الفجوة:</w:t>
      </w:r>
      <w:r>
        <w:t xml:space="preserve"> يذكر المستند وجود AI Co-Pilot باللغتين العربية والإنجليزية طوال الرحلة [1]. ومع ذلك، فإن التفاصيل حول قدراته المحددة (هل هو مجرد مساعد محادثة، أم أنه يقدم توصيات نشطة، أو يساعد في ملء البيانات، أو يفسر الضوابط المعقدة؟) غير واضحة.</w:t>
      </w:r>
    </w:p>
    <w:p>
      <w:pPr>
        <w:pStyle w:val="MdListItem"/>
        <w:numPr>
          <w:ilvl w:val="0"/>
          <w:numId w:val="2"/>
        </w:numPr>
      </w:pPr>
      <w:r>
        <w:rPr>
          <w:rStyle w:val="MdStrong"/>
          <w:b/>
          <w:bCs/>
        </w:rPr>
        <w:t xml:space="preserve">التأثير:</w:t>
      </w:r>
      <w:r>
        <w:t xml:space="preserve"> قد يؤدي عدم الوضوح إلى توقعات غير واقعية من المستخدمين أو عدم الاستفادة الكاملة من إمكانات الذكاء الاصطناعي.</w:t>
      </w:r>
    </w:p>
    <w:p>
      <w:pPr>
        <w:pStyle w:val="MdListItem"/>
        <w:numPr>
          <w:ilvl w:val="0"/>
          <w:numId w:val="2"/>
        </w:numPr>
      </w:pPr>
      <w:r>
        <w:rPr>
          <w:rStyle w:val="MdStrong"/>
          <w:b/>
          <w:bCs/>
        </w:rPr>
        <w:t xml:space="preserve">التوصية:</w:t>
      </w:r>
      <w:r>
        <w:t xml:space="preserve"> تحديد نطاق واضح لوظائف AI Co-Pilot في كل مرحلة. على سبيل المثال، يمكنه تقديم تفسيرات للضوابط، واقتراح أدلة محتملة، وتوجيه المستخدمين خلال عملية المعالجة، والإجابة على الأسئلة الشائعة حول الامتثال.</w:t>
      </w:r>
    </w:p>
    <w:p>
      <w:pPr>
        <w:pStyle w:val="MdSpace"/>
        <w:spacing w:before="0" w:after="60"/>
      </w:pPr>
    </w:p>
    <w:p>
      <w:pPr>
        <w:pStyle w:val="Heading3"/>
        <w:pStyle w:val="MdHeading3"/>
      </w:pPr>
      <w:r>
        <w:t xml:space="preserve">2.3. التعامل مع الحالات المعقدة والغامضة (Handling Complex and Ambiguous Cases)</w:t>
      </w:r>
    </w:p>
    <w:p>
      <w:pPr>
        <w:pStyle w:val="MdListItem"/>
        <w:numPr>
          <w:ilvl w:val="0"/>
          <w:numId w:val="2"/>
        </w:numPr>
      </w:pPr>
      <w:r>
        <w:rPr>
          <w:rStyle w:val="MdStrong"/>
          <w:b/>
          <w:bCs/>
        </w:rPr>
        <w:t xml:space="preserve">الفجوة:</w:t>
      </w:r>
      <w:r>
        <w:t xml:space="preserve">يصف المستند منطق الذكاء الاصطناعي للتصنيف [2]، ولكن ما يحدث في الحالات المعقدة أو الغامضة (مثل المؤسسات التي تقع في قطاعات متعددة، أو لديها هياكل ملكية معقدة، أو حالات </w:t>
      </w:r>
      <w:r>
        <w:br/>
        <w:t xml:space="preserve">غير واضحة فيما يتعلق بـ CNI، أو المؤسسات التي تتغير متطلبات الامتثال الخاصة بها بشكل متكرر) لا يزال بحاجة إلى توضيح.</w:t>
      </w:r>
    </w:p>
    <w:p>
      <w:pPr>
        <w:pStyle w:val="MdListItem"/>
        <w:numPr>
          <w:ilvl w:val="0"/>
          <w:numId w:val="2"/>
        </w:numPr>
      </w:pPr>
      <w:r>
        <w:rPr>
          <w:rStyle w:val="MdStrong"/>
          <w:b/>
          <w:bCs/>
        </w:rPr>
        <w:t xml:space="preserve">التأثير:</w:t>
      </w:r>
      <w:r>
        <w:t xml:space="preserve"> قد يؤدي عدم وجود آليات واضحة للتعامل مع هذه الحالات إلى أخطاء في التصنيف، أو إحباط المستخدمين، أو الحاجة إلى تدخل يدوي مكثف.</w:t>
      </w:r>
    </w:p>
    <w:p>
      <w:pPr>
        <w:pStyle w:val="MdListItem"/>
        <w:numPr>
          <w:ilvl w:val="0"/>
          <w:numId w:val="2"/>
        </w:numPr>
      </w:pPr>
      <w:r>
        <w:rPr>
          <w:rStyle w:val="MdStrong"/>
          <w:b/>
          <w:bCs/>
        </w:rPr>
        <w:t xml:space="preserve">التوصية:</w:t>
      </w:r>
      <w:r>
        <w:t xml:space="preserve"> تطوير قواعد أكثر تفصيلاً للذكاء الاصطناعي للتعامل مع الحالات المعقدة، ودمج خيار للمراجعة اليدوية من قبل خبراء عند الضرورة. يمكن أن يتضمن AI Co-Pilot أسئلة متابعة أكثر ذكاءً لتوضيح الغموض.</w:t>
      </w:r>
    </w:p>
    <w:p>
      <w:pPr>
        <w:pStyle w:val="MdSpace"/>
        <w:spacing w:before="0" w:after="60"/>
      </w:pPr>
    </w:p>
    <w:p>
      <w:pPr>
        <w:pStyle w:val="Heading3"/>
        <w:pStyle w:val="MdHeading3"/>
      </w:pPr>
      <w:r>
        <w:t xml:space="preserve">2.4. جمع الأدلة وتكامل الأنظمة (Evidence Collection and System Integration)</w:t>
      </w:r>
    </w:p>
    <w:p>
      <w:pPr>
        <w:pStyle w:val="MdListItem"/>
        <w:numPr>
          <w:ilvl w:val="0"/>
          <w:numId w:val="2"/>
        </w:numPr>
      </w:pPr>
      <w:r>
        <w:rPr>
          <w:rStyle w:val="MdStrong"/>
          <w:b/>
          <w:bCs/>
        </w:rPr>
        <w:t xml:space="preserve">الفجوة:</w:t>
      </w:r>
      <w:r>
        <w:t xml:space="preserve"> يذكر المستند تكامل OAuth مع أنظمة متعددة (Microsoft 365, Azure AD, AWS/Azure, Qualys/Tenable, SIEM) [1]. ومع ذلك، فإن تفاصيل عمق هذا التكامل، وكيفية التعامل مع الأنظمة القديمة أو غير المدعومة، أو متطلبات التكوين من جانب العميل، غير مفصلة.</w:t>
      </w:r>
    </w:p>
    <w:p>
      <w:pPr>
        <w:pStyle w:val="MdListItem"/>
        <w:numPr>
          <w:ilvl w:val="0"/>
          <w:numId w:val="2"/>
        </w:numPr>
      </w:pPr>
      <w:r>
        <w:rPr>
          <w:rStyle w:val="MdStrong"/>
          <w:b/>
          <w:bCs/>
        </w:rPr>
        <w:t xml:space="preserve">التأثير:</w:t>
      </w:r>
      <w:r>
        <w:t xml:space="preserve"> قد يكون التكامل مع الأنظمة الحالية للمؤسسات تحديًا كبيرًا، خاصة بالنسبة للمؤسسات الكبيرة ذات البنية التحتية المعقدة أو التي تستخدم حلولًا مخصصة. قد يؤدي ذلك إلى الحاجة إلى جمع أدلة يدوية بشكل كبير، مما يقلل من كفاءة المنصة.</w:t>
      </w:r>
    </w:p>
    <w:p>
      <w:pPr>
        <w:pStyle w:val="MdListItem"/>
        <w:numPr>
          <w:ilvl w:val="0"/>
          <w:numId w:val="2"/>
        </w:numPr>
      </w:pPr>
      <w:r>
        <w:rPr>
          <w:rStyle w:val="MdStrong"/>
          <w:b/>
          <w:bCs/>
        </w:rPr>
        <w:t xml:space="preserve">التوصية:</w:t>
      </w:r>
      <w:r>
        <w:t xml:space="preserve"> توفير وثائق فنية مفصلة لمتطلبات التكامل لكل نظام مدعوم. تطوير واجهات برمجة تطبيقات (APIs) مرنة للسماح بالتكامل المخصص. النظر في توفير وكلاء (agents) أو موصلات (connectors) لأنواع محددة من الأنظمة التي لا تدعم OAuth مباشرة. يجب أن يكون هناك مسار واضح لجمع الأدلة اليدوية بكفاءة عندما لا يكون التكامل الآلي ممكنًا.</w:t>
      </w:r>
    </w:p>
    <w:p>
      <w:pPr>
        <w:pStyle w:val="MdSpace"/>
        <w:spacing w:before="0" w:after="60"/>
      </w:pPr>
    </w:p>
    <w:p>
      <w:pPr>
        <w:pStyle w:val="Heading3"/>
        <w:pStyle w:val="MdHeading3"/>
      </w:pPr>
      <w:r>
        <w:t xml:space="preserve">2.5. دقة محرك NLP للذكاء الاصطناعي (AI NLP Engine Accuracy)</w:t>
      </w:r>
    </w:p>
    <w:p>
      <w:pPr>
        <w:pStyle w:val="MdListItem"/>
        <w:numPr>
          <w:ilvl w:val="0"/>
          <w:numId w:val="2"/>
        </w:numPr>
      </w:pPr>
      <w:r>
        <w:rPr>
          <w:rStyle w:val="MdStrong"/>
          <w:b/>
          <w:bCs/>
        </w:rPr>
        <w:t xml:space="preserve">الفجوة:</w:t>
      </w:r>
      <w:r>
        <w:t xml:space="preserve"> يعتمد محرك NLP للذكاء الاصطناعي على تحليل المستندات المرفوعة يدويًا وتعيينها للضوابط ذات الصلة مع تحديد درجة الثقة [1]. دقة هذا المحرك أمر بالغ الأهمية.</w:t>
      </w:r>
    </w:p>
    <w:p>
      <w:pPr>
        <w:pStyle w:val="MdListItem"/>
        <w:numPr>
          <w:ilvl w:val="0"/>
          <w:numId w:val="2"/>
        </w:numPr>
      </w:pPr>
      <w:r>
        <w:rPr>
          <w:rStyle w:val="MdStrong"/>
          <w:b/>
          <w:bCs/>
        </w:rPr>
        <w:t xml:space="preserve">التأثير:</w:t>
      </w:r>
      <w:r>
        <w:t xml:space="preserve"> قد يؤدي عدم الدقة إلى تعيينات خاطئة للأدلة، أو درجات ثقة غير صحيحة، مما يتطلب مراجعة يدوية مكثفة من قبل المستخدمين أو المدققين، ويقلل من قيمة الأتمتة.</w:t>
      </w:r>
    </w:p>
    <w:p>
      <w:pPr>
        <w:pStyle w:val="MdListItem"/>
        <w:numPr>
          <w:ilvl w:val="0"/>
          <w:numId w:val="2"/>
        </w:numPr>
      </w:pPr>
      <w:r>
        <w:rPr>
          <w:rStyle w:val="MdStrong"/>
          <w:b/>
          <w:bCs/>
        </w:rPr>
        <w:t xml:space="preserve">التوصية:</w:t>
      </w:r>
      <w:r>
        <w:t xml:space="preserve"> استثمار كبير في تدريب وتحسين محرك NLP باستخدام مجموعات بيانات كبيرة ومتنوعة من وثائق الامتثال. توفير آلية للمستخدمين لتقديم ملاحظات حول دقة التعيينات لتحسين النموذج بشكل مستمر. عرض الأدلة التي تم تعيينها بواسطة الذكاء الاصطناعي بوضوح للمستخدم للمراجعة والتأكيد.</w:t>
      </w:r>
    </w:p>
    <w:p>
      <w:pPr>
        <w:pStyle w:val="MdSpace"/>
        <w:spacing w:before="0" w:after="60"/>
      </w:pPr>
    </w:p>
    <w:p>
      <w:pPr>
        <w:pStyle w:val="Heading3"/>
        <w:pStyle w:val="MdHeading3"/>
      </w:pPr>
      <w:r>
        <w:t xml:space="preserve">2.6. محرك المخاطر التنبؤي (Predictive Risk Engine)</w:t>
      </w:r>
    </w:p>
    <w:p>
      <w:pPr>
        <w:pStyle w:val="MdListItem"/>
        <w:numPr>
          <w:ilvl w:val="0"/>
          <w:numId w:val="2"/>
        </w:numPr>
      </w:pPr>
      <w:r>
        <w:rPr>
          <w:rStyle w:val="MdStrong"/>
          <w:b/>
          <w:bCs/>
        </w:rPr>
        <w:t xml:space="preserve">الفجوة:</w:t>
      </w:r>
      <w:r>
        <w:t xml:space="preserve"> يذكر المستند وجود محرك تنبؤي للمخاطر يحسب احتمالية اكتشاف المراجع لكل فجوة مفتوحة [1]. بناء نموذج تنبؤي دقيق للمخاطر يتطلب بيانات تاريخية كبيرة حول نتائج التدقيق والفجوات المرتبطة بها.</w:t>
      </w:r>
    </w:p>
    <w:p>
      <w:pPr>
        <w:pStyle w:val="MdListItem"/>
        <w:numPr>
          <w:ilvl w:val="0"/>
          <w:numId w:val="2"/>
        </w:numPr>
      </w:pPr>
      <w:r>
        <w:rPr>
          <w:rStyle w:val="MdStrong"/>
          <w:b/>
          <w:bCs/>
        </w:rPr>
        <w:t xml:space="preserve">التأثير:</w:t>
      </w:r>
      <w:r>
        <w:t xml:space="preserve"> قد تكون التنبؤات غير الدقيقة للمخاطر مضللة للمؤسسات، مما يؤدي إلى تخصيص غير فعال للموارد أو شعور زائف بالأمان.</w:t>
      </w:r>
    </w:p>
    <w:p>
      <w:pPr>
        <w:pStyle w:val="MdListItem"/>
        <w:numPr>
          <w:ilvl w:val="0"/>
          <w:numId w:val="2"/>
        </w:numPr>
      </w:pPr>
      <w:r>
        <w:rPr>
          <w:rStyle w:val="MdStrong"/>
          <w:b/>
          <w:bCs/>
        </w:rPr>
        <w:t xml:space="preserve">التوصية:</w:t>
      </w:r>
      <w:r>
        <w:t xml:space="preserve"> توضيح مصادر البيانات التي سيتم استخدامها لتدريب هذا المحرك. البدء بنهج أكثر تحفظًا في التنبؤ بالمخاطر، وتطوير النموذج بشكل تدريجي مع جمع المزيد من البيانات التاريخية. يجب أن تكون الشفافية حول كيفية حساب هذه الاحتمالات أمرًا بالغ الأهمية.</w:t>
      </w:r>
    </w:p>
    <w:p>
      <w:pPr>
        <w:pStyle w:val="MdSpace"/>
        <w:spacing w:before="0" w:after="60"/>
      </w:pPr>
    </w:p>
    <w:p>
      <w:pPr>
        <w:pStyle w:val="Heading3"/>
        <w:pStyle w:val="MdHeading3"/>
      </w:pPr>
      <w:r>
        <w:t xml:space="preserve">2.7. توليد السياسات والسكربتات (Policy and Script Generation)</w:t>
      </w:r>
    </w:p>
    <w:p>
      <w:pPr>
        <w:pStyle w:val="MdListItem"/>
        <w:numPr>
          <w:ilvl w:val="0"/>
          <w:numId w:val="2"/>
        </w:numPr>
      </w:pPr>
      <w:r>
        <w:rPr>
          <w:rStyle w:val="MdStrong"/>
          <w:b/>
          <w:bCs/>
        </w:rPr>
        <w:t xml:space="preserve">الفجوة:</w:t>
      </w:r>
      <w:r>
        <w:t xml:space="preserve"> يوفر الذكاء الاصطناعي القدرة على توليد مسودات للسياسات وسكربتات الإصلاح التلقائية [1]. جودة ودقة هذه المخرجات أمر حيوي.</w:t>
      </w:r>
    </w:p>
    <w:p>
      <w:pPr>
        <w:pStyle w:val="MdListItem"/>
        <w:numPr>
          <w:ilvl w:val="0"/>
          <w:numId w:val="2"/>
        </w:numPr>
      </w:pPr>
      <w:r>
        <w:rPr>
          <w:rStyle w:val="MdStrong"/>
          <w:b/>
          <w:bCs/>
        </w:rPr>
        <w:t xml:space="preserve">التأثير:</w:t>
      </w:r>
      <w:r>
        <w:t xml:space="preserve"> قد تؤدي السياسات أو السكربتات غير الدقيقة أو غير الكاملة إلى مخاطر أمنية، أو عدم الامتثال، أو الحاجة إلى تعديلات يدوية كبيرة، مما يقلل من فائدة هذه الميزة.</w:t>
      </w:r>
    </w:p>
    <w:p>
      <w:pPr>
        <w:pStyle w:val="MdListItem"/>
        <w:numPr>
          <w:ilvl w:val="0"/>
          <w:numId w:val="2"/>
        </w:numPr>
      </w:pPr>
      <w:r>
        <w:rPr>
          <w:rStyle w:val="MdStrong"/>
          <w:b/>
          <w:bCs/>
        </w:rPr>
        <w:t xml:space="preserve">التوصية:</w:t>
      </w:r>
      <w:r>
        <w:t xml:space="preserve"> توفير قوالب سياسات وسكربتات قابلة للتخصيص بشكل كبير. يجب أن تكون هناك عملية مراجعة وتأكيد واضحة من قبل المستخدم قبل اعتماد أي سياسة أو سكربت تم إنشاؤه بواسطة الذكاء الاصطناعي. يجب أن تكون هذه الميزة بمثابة نقطة بداية وليست حلًا نهائيًا.</w:t>
      </w:r>
    </w:p>
    <w:p>
      <w:pPr>
        <w:pStyle w:val="MdSpace"/>
        <w:spacing w:before="0" w:after="60"/>
      </w:pPr>
    </w:p>
    <w:p>
      <w:pPr>
        <w:pStyle w:val="Heading3"/>
        <w:pStyle w:val="MdHeading3"/>
      </w:pPr>
      <w:r>
        <w:t xml:space="preserve">2.8. تجربة المستخدم وواجهة المدقق (User Experience and Auditor Interface)</w:t>
      </w:r>
    </w:p>
    <w:p>
      <w:pPr>
        <w:pStyle w:val="MdListItem"/>
        <w:numPr>
          <w:ilvl w:val="0"/>
          <w:numId w:val="2"/>
        </w:numPr>
      </w:pPr>
      <w:r>
        <w:rPr>
          <w:rStyle w:val="MdStrong"/>
          <w:b/>
          <w:bCs/>
        </w:rPr>
        <w:t xml:space="preserve">الفجوة:</w:t>
      </w:r>
      <w:r>
        <w:t xml:space="preserve"> على الرغم من أن المستندات تصف سير العمل، إلا أن تفاصيل تجربة المستخدم (UX) وواجهة المستخدم (UI) للمنصة، خاصة بالنسبة للمدققين، ليست مفصلة [1].</w:t>
      </w:r>
    </w:p>
    <w:p>
      <w:pPr>
        <w:pStyle w:val="MdListItem"/>
        <w:numPr>
          <w:ilvl w:val="0"/>
          <w:numId w:val="2"/>
        </w:numPr>
      </w:pPr>
      <w:r>
        <w:rPr>
          <w:rStyle w:val="MdStrong"/>
          <w:b/>
          <w:bCs/>
        </w:rPr>
        <w:t xml:space="preserve">التأثير:</w:t>
      </w:r>
      <w:r>
        <w:t xml:space="preserve"> واجهة المستخدم غير البديهية أو المعقدة يمكن أن تعيق اعتماد المنصة، حتى لو كانت الوظائف الأساسية قوية. المدققون، الذين قد يكونون معتادين على العمليات اليدوية، سيحتاجون إلى واجهة سهلة الاستخدام وفعالة.</w:t>
      </w:r>
    </w:p>
    <w:p>
      <w:pPr>
        <w:pStyle w:val="MdListItem"/>
        <w:numPr>
          <w:ilvl w:val="0"/>
          <w:numId w:val="2"/>
        </w:numPr>
      </w:pPr>
      <w:r>
        <w:rPr>
          <w:rStyle w:val="MdStrong"/>
          <w:b/>
          <w:bCs/>
        </w:rPr>
        <w:t xml:space="preserve">التوصية:</w:t>
      </w:r>
      <w:r>
        <w:t xml:space="preserve"> استثمار كبير في تصميم UX/UI، مع التركيز على البساطة والوضوح والكفاءة. إجراء اختبارات مكثفة للمستخدمين مع كل من المؤسسات والمدققين لضمان أن الواجهة تلبي احتياجاتهم وتوقعاتهم. يجب أن تكون الواجهة متوافقة مع إرشادات التصميم الحكومية السعودية إن وجدت.</w:t>
      </w:r>
    </w:p>
    <w:p>
      <w:pPr>
        <w:pStyle w:val="MdSpace"/>
        <w:spacing w:before="0" w:after="60"/>
      </w:pPr>
    </w:p>
    <w:p>
      <w:pPr>
        <w:pStyle w:val="Heading3"/>
        <w:pStyle w:val="MdHeading3"/>
      </w:pPr>
      <w:r>
        <w:t xml:space="preserve">2.9. الجوانب القانونية والتنظيمية (Legal and Regulatory Aspects)</w:t>
      </w:r>
    </w:p>
    <w:p>
      <w:pPr>
        <w:pStyle w:val="MdListItem"/>
        <w:numPr>
          <w:ilvl w:val="0"/>
          <w:numId w:val="2"/>
        </w:numPr>
      </w:pPr>
      <w:r>
        <w:rPr>
          <w:rStyle w:val="MdStrong"/>
          <w:b/>
          <w:bCs/>
        </w:rPr>
        <w:t xml:space="preserve">الفجوة:</w:t>
      </w:r>
      <w:r>
        <w:t xml:space="preserve"> تذكر المنصة الامتثال لمعايير NCA ومتطلبات SABIC و Aramco [2]. ومع ذلك، فإن الجوانب القانونية المتعلقة بالمسؤولية عن دقة التقييمات، وصلاحية الشهادات الصادرة، وكيفية التعامل مع التغييرات في اللوائح، تحتاج إلى توضيح.</w:t>
      </w:r>
    </w:p>
    <w:p>
      <w:pPr>
        <w:pStyle w:val="MdListItem"/>
        <w:numPr>
          <w:ilvl w:val="0"/>
          <w:numId w:val="2"/>
        </w:numPr>
      </w:pPr>
      <w:r>
        <w:rPr>
          <w:rStyle w:val="MdStrong"/>
          <w:b/>
          <w:bCs/>
        </w:rPr>
        <w:t xml:space="preserve">التأثير:</w:t>
      </w:r>
      <w:r>
        <w:t xml:space="preserve"> قد تواجه المنصة تحديات قانونية إذا كانت التقييمات غير دقيقة أو إذا لم يتم تحديثها بسرعة لتتوافق مع التغييرات التنظيمية.</w:t>
      </w:r>
    </w:p>
    <w:p>
      <w:pPr>
        <w:pStyle w:val="MdListItem"/>
        <w:numPr>
          <w:ilvl w:val="0"/>
          <w:numId w:val="2"/>
        </w:numPr>
      </w:pPr>
      <w:r>
        <w:rPr>
          <w:rStyle w:val="MdStrong"/>
          <w:b/>
          <w:bCs/>
        </w:rPr>
        <w:t xml:space="preserve">التوصية:</w:t>
      </w:r>
      <w:r>
        <w:t xml:space="preserve"> التشاور مع خبراء قانونيين وتنظيميين لضمان أن المنصة تتوافق مع جميع المتطلبات القانونية. يجب أن يكون هناك إخلاء مسؤولية واضح بشأن دور المنصة كأداة مساعدة وليس بديلاً عن الخبرة البشرية. يجب أن تكون هناك عملية قوية لتحديث المنصة بسرعة عند تغيير اللوائح.</w:t>
      </w:r>
    </w:p>
    <w:p>
      <w:pPr>
        <w:pStyle w:val="MdSpace"/>
        <w:spacing w:before="0" w:after="60"/>
      </w:pPr>
    </w:p>
    <w:p>
      <w:pPr>
        <w:pStyle w:val="Heading3"/>
        <w:pStyle w:val="MdHeading3"/>
      </w:pPr>
      <w:r>
        <w:t xml:space="preserve">2.10. دعم اللغات (Language Support)</w:t>
      </w:r>
    </w:p>
    <w:p>
      <w:pPr>
        <w:pStyle w:val="MdListItem"/>
        <w:numPr>
          <w:ilvl w:val="0"/>
          <w:numId w:val="2"/>
        </w:numPr>
      </w:pPr>
      <w:r>
        <w:rPr>
          <w:rStyle w:val="MdStrong"/>
          <w:b/>
          <w:bCs/>
        </w:rPr>
        <w:t xml:space="preserve">الفجوة:</w:t>
      </w:r>
      <w:r>
        <w:t xml:space="preserve"> يذكر المستند أن AI Co-Pilot متاح باللغتين العربية والإنجليزية [1]. ومع ذلك، يجب التأكد من أن جميع جوانب المنصة (واجهة المستخدم، التقارير، السياسات المولدة، وثائق المساعدة) متاحة بالكامل وبجودة عالية باللغتين، وليس فقط AI Co-Pilot.</w:t>
      </w:r>
    </w:p>
    <w:p>
      <w:pPr>
        <w:pStyle w:val="MdListItem"/>
        <w:numPr>
          <w:ilvl w:val="0"/>
          <w:numId w:val="2"/>
        </w:numPr>
      </w:pPr>
      <w:r>
        <w:rPr>
          <w:rStyle w:val="MdStrong"/>
          <w:b/>
          <w:bCs/>
        </w:rPr>
        <w:t xml:space="preserve">التأثير:</w:t>
      </w:r>
      <w:r>
        <w:t xml:space="preserve"> قد يؤدي عدم وجود دعم كامل للغة العربية إلى صعوبات في الاستخدام للمستخدمين المحليين، خاصة في القطاع الحكومي.</w:t>
      </w:r>
    </w:p>
    <w:p>
      <w:pPr>
        <w:pStyle w:val="MdListItem"/>
        <w:numPr>
          <w:ilvl w:val="0"/>
          <w:numId w:val="2"/>
        </w:numPr>
      </w:pPr>
      <w:r>
        <w:rPr>
          <w:rStyle w:val="MdStrong"/>
          <w:b/>
          <w:bCs/>
        </w:rPr>
        <w:t xml:space="preserve">التوصية:</w:t>
      </w:r>
      <w:r>
        <w:t xml:space="preserve"> ضمان ترجمة وتوطين شامل لجميع مكونات المنصة. يجب أن يتم ذلك بواسطة مترجمين محترفين لديهم فهم عميق للمصطلحات التقنية والأمن السيبراني باللغتين.</w:t>
      </w:r>
    </w:p>
    <w:p>
      <w:pPr>
        <w:pStyle w:val="MdSpace"/>
        <w:spacing w:before="0" w:after="60"/>
      </w:pPr>
    </w:p>
    <w:p>
      <w:pPr>
        <w:pStyle w:val="Heading3"/>
        <w:pStyle w:val="MdHeading3"/>
      </w:pPr>
      <w:r>
        <w:t xml:space="preserve">2.11. إدارة التغيير والتدريب (Change Management and Training)</w:t>
      </w:r>
    </w:p>
    <w:p>
      <w:pPr>
        <w:pStyle w:val="MdListItem"/>
        <w:numPr>
          <w:ilvl w:val="0"/>
          <w:numId w:val="2"/>
        </w:numPr>
      </w:pPr>
      <w:r>
        <w:rPr>
          <w:rStyle w:val="MdStrong"/>
          <w:b/>
          <w:bCs/>
        </w:rPr>
        <w:t xml:space="preserve">الفجوة:</w:t>
      </w:r>
      <w:r>
        <w:t xml:space="preserve"> على الرغم من وجود وحدة تدريب للموظفين [1]، إلا أن هناك حاجة إلى استراتيجية شاملة لإدارة التغيير لمساعدة المؤسسات على تبني المنصة الجديدة والانتقال من العمليات اليدوية إلى العمليات المؤتمتة.</w:t>
      </w:r>
    </w:p>
    <w:p>
      <w:pPr>
        <w:pStyle w:val="MdListItem"/>
        <w:numPr>
          <w:ilvl w:val="0"/>
          <w:numId w:val="2"/>
        </w:numPr>
      </w:pPr>
      <w:r>
        <w:rPr>
          <w:rStyle w:val="MdStrong"/>
          <w:b/>
          <w:bCs/>
        </w:rPr>
        <w:t xml:space="preserve">التأثير:</w:t>
      </w:r>
      <w:r>
        <w:t xml:space="preserve"> قد يؤدي عدم وجود إدارة تغيير فعالة إلى مقاومة من المستخدمين، أو عدم الاستفادة الكاملة من ميزات المنصة، أو فشل في التنفيذ.</w:t>
      </w:r>
    </w:p>
    <w:p>
      <w:pPr>
        <w:pStyle w:val="MdListItem"/>
        <w:numPr>
          <w:ilvl w:val="0"/>
          <w:numId w:val="2"/>
        </w:numPr>
      </w:pPr>
      <w:r>
        <w:rPr>
          <w:rStyle w:val="MdStrong"/>
          <w:b/>
          <w:bCs/>
        </w:rPr>
        <w:t xml:space="preserve">التوصية:</w:t>
      </w:r>
      <w:r>
        <w:t xml:space="preserve"> تطوير برامج تدريبية شاملة للمسؤولين والمستخدمين النهائيين. توفير مواد تعليمية (أدلة، فيديوهات، أسئلة شائعة) باللغتين. تقديم دعم فني مستمر ومجتمع للمستخدمين لتبادل الخبرات.</w:t>
      </w:r>
    </w:p>
    <w:p>
      <w:pPr>
        <w:pStyle w:val="MdSpace"/>
        <w:spacing w:before="0" w:after="60"/>
      </w:pPr>
    </w:p>
    <w:p>
      <w:pPr>
        <w:pStyle w:val="Heading2"/>
        <w:pStyle w:val="MdHeading2"/>
      </w:pPr>
      <w:r>
        <w:t xml:space="preserve">الخلاصة والتوصيات</w:t>
      </w:r>
    </w:p>
    <w:p>
      <w:pPr>
        <w:pStyle w:val="MdParagraph"/>
      </w:pPr>
      <w:r>
        <w:t xml:space="preserve">الفكرة الكامنة وراء منصة CyberTrust KSA طموحة ومبتكرة، ولديها القدرة على إحداث ثورة في كيفية تعامل المؤسسات السعودية مع الامتثال للأمن السيبراني. التصميم متعدد الأطر والتركيز على الأتمتة والذكاء الاصطناعي يضعها في موقع قوي.</w:t>
      </w:r>
    </w:p>
    <w:p>
      <w:pPr>
        <w:pStyle w:val="MdSpace"/>
        <w:spacing w:before="0" w:after="60"/>
      </w:pPr>
    </w:p>
    <w:p>
      <w:pPr>
        <w:pStyle w:val="MdParagraph"/>
      </w:pPr>
      <w:r>
        <w:t xml:space="preserve">لتحويل هذه الفكرة إلى نظام حقيقي ناجح، يجب التركيز على سد الفجوات المذكورة أعلاه، خاصة فيما يتعلق بالتحقق من البيانات، وتفاصيل التكامل، ودقة الذكاء الاصطناعي، وتجربة المستخدم. يجب أن يكون هناك استثمار مستمر في البحث والتطوير، بالإضافة إلى التعاون الوثيق مع المؤسسات المستهدفة والجهات التنظيمية لضمان أن المنصة تلبي الاحتياجات الفعلية وتتوافق مع جميع المتطلبات.</w:t>
      </w:r>
    </w:p>
    <w:p>
      <w:pPr>
        <w:pStyle w:val="MdSpace"/>
        <w:spacing w:before="0" w:after="60"/>
      </w:pPr>
    </w:p>
    <w:p>
      <w:pPr>
        <w:pStyle w:val="MdParagraph"/>
      </w:pPr>
      <w:r>
        <w:rPr>
          <w:rStyle w:val="MdStrong"/>
          <w:b/>
          <w:bCs/>
        </w:rPr>
        <w:t xml:space="preserve">توصيات إضافية:</w:t>
      </w:r>
    </w:p>
    <w:p>
      <w:pPr>
        <w:pStyle w:val="MdSpace"/>
        <w:spacing w:before="0" w:after="60"/>
      </w:pPr>
    </w:p>
    <w:p>
      <w:pPr>
        <w:pStyle w:val="MdListItem"/>
        <w:numPr>
          <w:ilvl w:val="0"/>
          <w:numId w:val="2"/>
        </w:numPr>
      </w:pPr>
      <w:r>
        <w:rPr>
          <w:rStyle w:val="MdStrong"/>
          <w:b/>
          <w:bCs/>
        </w:rPr>
        <w:t xml:space="preserve">البدء بنموذج MVP (الحد الأدنى من المنتج القابل للتطبيق):</w:t>
      </w:r>
      <w:r>
        <w:t xml:space="preserve"> التركيز على تنفيذ الميزات الأساسية أولاً (التصنيف، جمع الأدلة الأساسي، تقييم الضوابط) ثم التوسع تدريجيًا. هذا يسمح بجمع الملاحظات المبكرة وتحسين المنصة بشكل تكراري.</w:t>
      </w:r>
    </w:p>
    <w:p>
      <w:pPr>
        <w:pStyle w:val="MdListItem"/>
        <w:numPr>
          <w:ilvl w:val="0"/>
          <w:numId w:val="2"/>
        </w:numPr>
      </w:pPr>
      <w:r>
        <w:rPr>
          <w:rStyle w:val="MdStrong"/>
          <w:b/>
          <w:bCs/>
        </w:rPr>
        <w:t xml:space="preserve">الشراكات الاستراتيجية:</w:t>
      </w:r>
      <w:r>
        <w:t xml:space="preserve"> التعاون مع مزودي الخدمات السحابية، ومقدمي حلول الأمن السيبراني، والجهات الحكومية لتعزيز التكامل والمصداقية.</w:t>
      </w:r>
    </w:p>
    <w:p>
      <w:pPr>
        <w:pStyle w:val="MdListItem"/>
        <w:numPr>
          <w:ilvl w:val="0"/>
          <w:numId w:val="2"/>
        </w:numPr>
      </w:pPr>
      <w:r>
        <w:rPr>
          <w:rStyle w:val="MdStrong"/>
          <w:b/>
          <w:bCs/>
        </w:rPr>
        <w:t xml:space="preserve">الأمن أولاً:</w:t>
      </w:r>
      <w:r>
        <w:t xml:space="preserve"> نظرًا لأن المنصة تتعامل مع بيانات حساسة للغاية، يجب أن يكون الأمن في صميم كل قرار تصميم وتطوير. إجراء اختبارات اختراق منتظمة وتقييمات أمنية.</w:t>
      </w:r>
    </w:p>
    <w:p>
      <w:pPr>
        <w:pStyle w:val="MdListItem"/>
        <w:numPr>
          <w:ilvl w:val="0"/>
          <w:numId w:val="2"/>
        </w:numPr>
      </w:pPr>
      <w:r>
        <w:rPr>
          <w:rStyle w:val="MdStrong"/>
          <w:b/>
          <w:bCs/>
        </w:rPr>
        <w:t xml:space="preserve">قابلية التوسع (Scalability):</w:t>
      </w:r>
      <w:r>
        <w:t xml:space="preserve"> تصميم البنية التحتية للمنصة لتكون قابلة للتوسع للتعامل مع عدد كبير من المؤسسات والبيانات.</w:t>
      </w:r>
    </w:p>
    <w:p>
      <w:pPr>
        <w:pStyle w:val="MdSpace"/>
        <w:spacing w:before="0" w:after="60"/>
      </w:pPr>
    </w:p>
    <w:p>
      <w:pPr>
        <w:pStyle w:val="MdParagraph"/>
      </w:pPr>
      <w:r>
        <w:t xml:space="preserve">بمعالجة هذه الفجوات والاعتبارات، يمكن لمنصة CyberTrust KSA أن تصبح أداة قوية وفعالة للغاية للمؤسسات في المملكة العربية السعودية لتحقيق الامتثال للأمن السيبراني والحفاظ عليه.</w:t>
      </w:r>
    </w:p>
    <w:p>
      <w:pPr>
        <w:pStyle w:val="MdSpace"/>
        <w:spacing w:before="0" w:after="60"/>
      </w:pPr>
    </w:p>
    <w:p>
      <w:pPr>
        <w:pStyle w:val="Heading2"/>
        <w:pStyle w:val="MdHeading2"/>
      </w:pPr>
      <w:r>
        <w:t xml:space="preserve">المراجع</w:t>
      </w:r>
    </w:p>
    <w:p>
      <w:pPr>
        <w:pStyle w:val="MdParagraph"/>
      </w:pPr>
      <w:r>
        <w:t xml:space="preserve">[1] CyberTrust KSA. </w:t>
      </w:r>
      <w:r>
        <w:rPr>
          <w:rStyle w:val="MdEm"/>
          <w:i/>
          <w:iCs/>
        </w:rPr>
        <w:t xml:space="preserve">CyberTrust_KSA_Platform_Steps.pdf</w:t>
      </w:r>
      <w:r>
        <w:t xml:space="preserve">.</w:t>
      </w:r>
      <w:r>
        <w:br/>
        <w:t xml:space="preserve">[2] CyberTrust KSA.</w:t>
      </w:r>
      <w:r>
        <w:rPr>
          <w:rStyle w:val="MdEm"/>
          <w:i/>
          <w:iCs/>
        </w:rPr>
        <w:t xml:space="preserve">CyberTrust_KSA_Developer_Prototype_v3.1.pdf</w:t>
      </w:r>
      <w:r>
        <w:t xml:space="preserve">.</w:t>
      </w:r>
      <w:r>
        <w:br/>
        <w:t xml:space="preserve">[3] CyberTrust KSA.</w:t>
      </w:r>
      <w:r>
        <w:rPr>
          <w:rStyle w:val="MdEm"/>
          <w:i/>
          <w:iCs/>
        </w:rPr>
        <w:t xml:space="preserve">CyberTrust_KSA_Classification_Framework_Combined.pdf</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2026-06-07T14:24:34.249Z</dcterms:created>
  <dcterms:modified xsi:type="dcterms:W3CDTF">2026-06-07T14:24:34.249Z</dcterms:modified>
</cp:coreProperties>
</file>

<file path=docProps/custom.xml><?xml version="1.0" encoding="utf-8"?>
<Properties xmlns="http://schemas.openxmlformats.org/officeDocument/2006/custom-properties" xmlns:vt="http://schemas.openxmlformats.org/officeDocument/2006/docPropsVTypes"/>
</file>