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تصميم محرك الامتثال الذكي الموحد (Unified Compliance Intelligence Engine - UCIE)</w:t>
      </w:r>
    </w:p>
    <w:p>
      <w:pPr>
        <w:pStyle w:val="MdParagraph"/>
      </w:pPr>
      <w:r>
        <w:t xml:space="preserve">بصفتي مهندس برمجيات، ومطور ذكاء اصطناعي، وخبير أمن سيبراني وتدقيق، قمت بتصميم هذا المحرك ليكون "العقل" الذي يدير عملية الامتثال المتقاطع بين معايير أرامكو، سابك، والجهات الحكومية (NCA).</w:t>
      </w:r>
    </w:p>
    <w:p>
      <w:pPr>
        <w:pStyle w:val="MdSpace"/>
        <w:spacing w:before="0" w:after="60"/>
      </w:pPr>
    </w:p>
    <w:p>
      <w:pPr>
        <w:pStyle w:val="Heading2"/>
        <w:pStyle w:val="MdHeading2"/>
      </w:pPr>
      <w:r>
        <w:t xml:space="preserve">1. هيكلية قاعدة معرفة الامتثال (Compliance Knowledge Base)</w:t>
      </w:r>
    </w:p>
    <w:p>
      <w:pPr>
        <w:pStyle w:val="MdParagraph"/>
      </w:pPr>
      <w:r>
        <w:t xml:space="preserve">المحرك يعتمد على قاعدة بيانات موحدة (Graph Database) تربط بين الضوابط المشتركة لتقليل التكرار.</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المعيار</w:t>
            </w:r>
          </w:p>
        </w:tc>
        <w:tc>
          <w:tcPr>
            <w:tcMar>
              <w:top w:type="dxa" w:w="100"/>
              <w:left w:type="dxa" w:w="120"/>
              <w:bottom w:type="dxa" w:w="100"/>
              <w:right w:type="dxa" w:w="120"/>
            </w:tcMar>
            <w:vAlign w:val="center"/>
          </w:tcPr>
          <w:p>
            <w:pPr>
              <w:pStyle w:val="MdTableHeader"/>
              <w:jc w:val="left"/>
            </w:pPr>
            <w:r>
              <w:t xml:space="preserve">المرجع التقني</w:t>
            </w:r>
          </w:p>
        </w:tc>
        <w:tc>
          <w:tcPr>
            <w:tcBorders>
              <w:right w:val="none"/>
            </w:tcBorders>
            <w:tcMar>
              <w:top w:type="dxa" w:w="100"/>
              <w:left w:type="dxa" w:w="120"/>
              <w:bottom w:type="dxa" w:w="100"/>
              <w:right w:type="dxa" w:w="120"/>
            </w:tcMar>
            <w:vAlign w:val="center"/>
          </w:tcPr>
          <w:p>
            <w:pPr>
              <w:pStyle w:val="MdTableHeader"/>
              <w:jc w:val="left"/>
            </w:pPr>
            <w:r>
              <w:t xml:space="preserve">التركيز الرئيسي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أرامكو (SCCC)</w:t>
            </w:r>
          </w:p>
        </w:tc>
        <w:tc>
          <w:tcPr>
            <w:tcMar>
              <w:top w:type="dxa" w:w="80"/>
              <w:left w:type="dxa" w:w="120"/>
              <w:bottom w:type="dxa" w:w="80"/>
              <w:right w:type="dxa" w:w="120"/>
            </w:tcMar>
            <w:vAlign w:val="center"/>
          </w:tcPr>
          <w:p>
            <w:pPr>
              <w:pStyle w:val="MdTableCell"/>
              <w:jc w:val="left"/>
            </w:pPr>
            <w:r>
              <w:t xml:space="preserve">SACS-002</w:t>
            </w:r>
          </w:p>
        </w:tc>
        <w:tc>
          <w:tcPr>
            <w:tcBorders>
              <w:right w:val="none"/>
            </w:tcBorders>
            <w:tcMar>
              <w:top w:type="dxa" w:w="80"/>
              <w:left w:type="dxa" w:w="120"/>
              <w:bottom w:type="dxa" w:w="80"/>
              <w:right w:type="dxa" w:w="120"/>
            </w:tcMar>
            <w:vAlign w:val="center"/>
          </w:tcPr>
          <w:p>
            <w:pPr>
              <w:pStyle w:val="MdTableCell"/>
              <w:jc w:val="left"/>
            </w:pPr>
            <w:r>
              <w:t xml:space="preserve">أمن الشبكات، التحقق الثنائي، الوصول عن بعد.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سابك (CyberTrust)</w:t>
            </w:r>
          </w:p>
        </w:tc>
        <w:tc>
          <w:tcPr>
            <w:tcMar>
              <w:top w:type="dxa" w:w="80"/>
              <w:left w:type="dxa" w:w="120"/>
              <w:bottom w:type="dxa" w:w="80"/>
              <w:right w:type="dxa" w:w="120"/>
            </w:tcMar>
            <w:vAlign w:val="center"/>
          </w:tcPr>
          <w:p>
            <w:pPr>
              <w:pStyle w:val="MdTableCell"/>
              <w:jc w:val="left"/>
            </w:pPr>
            <w:r>
              <w:t xml:space="preserve">SABIC Standard</w:t>
            </w:r>
          </w:p>
        </w:tc>
        <w:tc>
          <w:tcPr>
            <w:tcBorders>
              <w:right w:val="none"/>
            </w:tcBorders>
            <w:tcMar>
              <w:top w:type="dxa" w:w="80"/>
              <w:left w:type="dxa" w:w="120"/>
              <w:bottom w:type="dxa" w:w="80"/>
              <w:right w:type="dxa" w:w="120"/>
            </w:tcMar>
            <w:vAlign w:val="center"/>
          </w:tcPr>
          <w:p>
            <w:pPr>
              <w:pStyle w:val="MdTableCell"/>
              <w:jc w:val="left"/>
            </w:pPr>
            <w:r>
              <w:t xml:space="preserve">حماية البيانات، السحابة، التكنولوجيا التشغيلية (OT).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الحكومة (NCA)</w:t>
            </w:r>
          </w:p>
        </w:tc>
        <w:tc>
          <w:tcPr>
            <w:tcBorders>
              <w:bottom w:val="single" w:color="E1E4E8" w:sz="4"/>
            </w:tcBorders>
            <w:tcMar>
              <w:top w:type="dxa" w:w="80"/>
              <w:left w:type="dxa" w:w="120"/>
              <w:bottom w:type="dxa" w:w="80"/>
              <w:right w:type="dxa" w:w="120"/>
            </w:tcMar>
            <w:vAlign w:val="center"/>
          </w:tcPr>
          <w:p>
            <w:pPr>
              <w:pStyle w:val="MdTableCell"/>
              <w:jc w:val="left"/>
            </w:pPr>
            <w:r>
              <w:t xml:space="preserve">ECC-1:2018</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الحوكمة، الدفاع السيبراني، الصمود، الأمن السحابي.</w:t>
            </w:r>
          </w:p>
        </w:tc>
      </w:tr>
    </w:tbl>
    <w:p>
      <w:pPr>
        <w:pStyle w:val="Heading3"/>
        <w:pStyle w:val="MdHeading3"/>
      </w:pPr>
      <w:r>
        <w:t xml:space="preserve">خوارزمية دمج القواعد (Rule Mapping Logic):</w:t>
      </w:r>
    </w:p>
    <w:p>
      <w:pPr>
        <w:pStyle w:val="MdParagraph"/>
      </w:pPr>
      <w:r>
        <w:t xml:space="preserve">يستخدم النظام تقنية </w:t>
      </w:r>
      <w:r>
        <w:rPr>
          <w:rStyle w:val="MdStrong"/>
          <w:b/>
          <w:bCs/>
        </w:rPr>
        <w:t xml:space="preserve">Cross-Framework Mapping</w:t>
      </w:r>
      <w:r>
        <w:t xml:space="preserve">؛ فإذا كان الضابط (مثلاً: تشفير البيانات) مطلوباً في المعايير الثلاثة، يقوم النظام بطلبه مرة واحدة فقط كدليل مشترك، مما يوفر 40-60% من جهد المورد.</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نموذج التصنيف الذكي (AI Classification Model)</w:t>
      </w:r>
    </w:p>
    <w:p>
      <w:pPr>
        <w:pStyle w:val="MdParagraph"/>
      </w:pPr>
      <w:r>
        <w:t xml:space="preserve">عند تسجيل الشركة، يقوم المحرك بطرح "أسئلة ذكية" (Smart Triage) لتصنيف الشركة وتحديد المسار المناسب.</w:t>
      </w:r>
    </w:p>
    <w:p>
      <w:pPr>
        <w:pStyle w:val="MdSpace"/>
        <w:spacing w:before="0" w:after="60"/>
      </w:pPr>
    </w:p>
    <w:p>
      <w:pPr>
        <w:pStyle w:val="Heading3"/>
        <w:pStyle w:val="MdHeading3"/>
      </w:pPr>
      <w:r>
        <w:t xml:space="preserve">أسئلة التصنيف الأولية (Triage Questions):</w:t>
      </w:r>
    </w:p>
    <w:p>
      <w:pPr>
        <w:pStyle w:val="MdListItem"/>
        <w:numPr>
          <w:ilvl w:val="0"/>
          <w:numId w:val="2"/>
        </w:numPr>
      </w:pPr>
      <w:r>
        <w:rPr>
          <w:rStyle w:val="MdStrong"/>
          <w:b/>
          <w:bCs/>
        </w:rPr>
        <w:t xml:space="preserve">طبيعة الخدمة:</w:t>
      </w:r>
      <w:r>
        <w:t xml:space="preserve"> هل تقدم خدمات سحابية، برمجيات، أم توريد أجهزة؟</w:t>
      </w:r>
    </w:p>
    <w:p>
      <w:pPr>
        <w:pStyle w:val="MdListItem"/>
        <w:numPr>
          <w:ilvl w:val="0"/>
          <w:numId w:val="2"/>
        </w:numPr>
      </w:pPr>
      <w:r>
        <w:rPr>
          <w:rStyle w:val="MdStrong"/>
          <w:b/>
          <w:bCs/>
        </w:rPr>
        <w:t xml:space="preserve">الوصول للبيانات:</w:t>
      </w:r>
      <w:r>
        <w:t xml:space="preserve"> هل لديك صلاحية الوصول لبيانات حساسة أو شبكات داخلية للعميل؟</w:t>
      </w:r>
    </w:p>
    <w:p>
      <w:pPr>
        <w:pStyle w:val="MdListItem"/>
        <w:numPr>
          <w:ilvl w:val="0"/>
          <w:numId w:val="2"/>
        </w:numPr>
      </w:pPr>
      <w:r>
        <w:rPr>
          <w:rStyle w:val="MdStrong"/>
          <w:b/>
          <w:bCs/>
        </w:rPr>
        <w:t xml:space="preserve">الجهة المستهدفة:</w:t>
      </w:r>
      <w:r>
        <w:t xml:space="preserve"> هل الشهادة مطلوبة للتعاقد مع (أرامكو، سابك، جهة حكومية، أو الكل)؟</w:t>
      </w:r>
    </w:p>
    <w:p>
      <w:pPr>
        <w:pStyle w:val="MdListItem"/>
        <w:numPr>
          <w:ilvl w:val="0"/>
          <w:numId w:val="2"/>
        </w:numPr>
      </w:pPr>
      <w:r>
        <w:rPr>
          <w:rStyle w:val="MdStrong"/>
          <w:b/>
          <w:bCs/>
        </w:rPr>
        <w:t xml:space="preserve">حجم المنشأة:</w:t>
      </w:r>
      <w:r>
        <w:t xml:space="preserve"> (متناهية الصغر، صغيرة، متوسطة، كبيرة).</w:t>
      </w:r>
    </w:p>
    <w:p>
      <w:pPr>
        <w:pStyle w:val="MdSpace"/>
        <w:spacing w:before="0" w:after="60"/>
      </w:pPr>
    </w:p>
    <w:p>
      <w:pPr>
        <w:pStyle w:val="Heading3"/>
        <w:pStyle w:val="MdHeading3"/>
      </w:pPr>
      <w:r>
        <w:t xml:space="preserve">منطق التصنيف (Classification Logic):</w:t>
      </w:r>
    </w:p>
    <w:p>
      <w:pPr>
        <w:pStyle w:val="MdListItem"/>
        <w:numPr>
          <w:ilvl w:val="0"/>
          <w:numId w:val="3"/>
        </w:numPr>
      </w:pPr>
      <w:r>
        <w:rPr>
          <w:rStyle w:val="MdStrong"/>
          <w:b/>
          <w:bCs/>
        </w:rPr>
        <w:t xml:space="preserve">المسار (أ):</w:t>
      </w:r>
      <w:r>
        <w:t xml:space="preserve"> مورد أرامكو -&gt; تفعيل ضوابط SACS-002 + تحديد مستوى (CCC أو +CCC).</w:t>
      </w:r>
    </w:p>
    <w:p>
      <w:pPr>
        <w:pStyle w:val="MdListItem"/>
        <w:numPr>
          <w:ilvl w:val="0"/>
          <w:numId w:val="3"/>
        </w:numPr>
      </w:pPr>
      <w:r>
        <w:rPr>
          <w:rStyle w:val="MdStrong"/>
          <w:b/>
          <w:bCs/>
        </w:rPr>
        <w:t xml:space="preserve">المسار (ب):</w:t>
      </w:r>
      <w:r>
        <w:t xml:space="preserve"> مورد سابك -&gt; تفعيل ضوابط CyberTrust + تحديد التصنيف (GR, NC, CCS, etc.).</w:t>
      </w:r>
    </w:p>
    <w:p>
      <w:pPr>
        <w:pStyle w:val="MdListItem"/>
        <w:numPr>
          <w:ilvl w:val="0"/>
          <w:numId w:val="3"/>
        </w:numPr>
      </w:pPr>
      <w:r>
        <w:rPr>
          <w:rStyle w:val="MdStrong"/>
          <w:b/>
          <w:bCs/>
        </w:rPr>
        <w:t xml:space="preserve">المسار (ج):</w:t>
      </w:r>
      <w:r>
        <w:t xml:space="preserve"> مورد حكومي -&gt; تفعيل ضوابط NCA ECC بناءً على نوع الجهة.</w:t>
      </w:r>
    </w:p>
    <w:p>
      <w:pPr>
        <w:pStyle w:val="MdListItem"/>
        <w:numPr>
          <w:ilvl w:val="0"/>
          <w:numId w:val="3"/>
        </w:numPr>
      </w:pPr>
      <w:r>
        <w:rPr>
          <w:rStyle w:val="MdStrong"/>
          <w:b/>
          <w:bCs/>
        </w:rPr>
        <w:t xml:space="preserve">المسار (د):</w:t>
      </w:r>
      <w:r>
        <w:t xml:space="preserve"> مورد شامل -&gt; تفعيل "الضوابط الذهبية المشتركة" + الضوابط الفريدة لكل جهة.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محرك الأسئلة الديناميكي (Dynamic Questioning Engine)</w:t>
      </w:r>
    </w:p>
    <w:p>
      <w:pPr>
        <w:pStyle w:val="MdParagraph"/>
      </w:pPr>
      <w:r>
        <w:t xml:space="preserve">بدلاً من عرض 100 سؤال دفعة واحدة، يستخدم المحرك </w:t>
      </w:r>
      <w:r>
        <w:rPr>
          <w:rStyle w:val="MdStrong"/>
          <w:b/>
          <w:bCs/>
        </w:rPr>
        <w:t xml:space="preserve">Logic-Branching</w:t>
      </w:r>
      <w:r>
        <w:t xml:space="preserve">:</w:t>
      </w:r>
    </w:p>
    <w:p>
      <w:pPr>
        <w:pStyle w:val="MdListItem"/>
        <w:numPr>
          <w:ilvl w:val="0"/>
          <w:numId w:val="3"/>
        </w:numPr>
      </w:pPr>
      <w:r>
        <w:t xml:space="preserve">إذا أجاب المورد بـ "نعم" على وجود اتصال VPN، يفتح المحرك تلقائياً أسئلة أمن الشبكات والوصول عن بعد.</w:t>
      </w:r>
    </w:p>
    <w:p>
      <w:pPr>
        <w:pStyle w:val="MdListItem"/>
        <w:numPr>
          <w:ilvl w:val="0"/>
          <w:numId w:val="3"/>
        </w:numPr>
      </w:pPr>
      <w:r>
        <w:t xml:space="preserve">إذا كانت الشركة "متناهية الصغر"، يقوم الذكاء الاصطناعي بتبسيط لغة الأسئلة واقتراح سياسات مبسطة تناسب حجمها.</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البنية التقنية للمحرك الذكي</w:t>
      </w:r>
    </w:p>
    <w:p>
      <w:pPr>
        <w:pStyle w:val="MdParagraph"/>
      </w:pPr>
      <w:r>
        <w:drawing>
          <wp:inline distT="0" distB="0" distL="0" distR="0">
            <wp:extent cx="5715000" cy="1190625"/>
            <wp:effectExtent t="0" r="0" b="0" l="0"/>
            <wp:docPr id="1" name="Unified Compliance Intelligence Engine Architecture" descr="Unified Compliance Intelligence Engine Architecture" title="Unified Compliance Intelligence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190625"/>
                    </a:xfrm>
                    <a:prstGeom prst="rect">
                      <a:avLst/>
                    </a:prstGeom>
                  </pic:spPr>
                </pic:pic>
              </a:graphicData>
            </a:graphic>
          </wp:inline>
        </w:drawing>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Input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A[Registration] --&gt; B[AI Triage Questions]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Intelligence 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 C{AI Classifier}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--&gt;|Aramco| D[SCCC Ruleset]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--&gt;|SABIC| E[CyberTrust Ruleset]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--&gt;|Gov| F[NCA ECC Ruleset]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&amp; E &amp; F --&gt; G[Common Controls Optimizer]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Output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H[Customized Compliance Roadmap]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I[Dynamic Evidence Checklist]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C fill:#f96,stroke:#333,stroke-width:2px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G fill:#0f9,stroke:#333,stroke-width:2px</w:t>
      </w:r>
    </w:p>
    <w:p>
      <w:pPr>
        <w:pStyle w:val="MdSpace"/>
        <w:spacing w:before="0" w:after="60"/>
      </w:pPr>
    </w:p>
    <w:p>
      <w:pPr>
        <w:pStyle w:val="Heading2"/>
        <w:pStyle w:val="MdHeading2"/>
      </w:pPr>
      <w:r>
        <w:t xml:space="preserve">5. التوصيات التنفيذية</w:t>
      </w:r>
    </w:p>
    <w:p>
      <w:pPr>
        <w:pStyle w:val="MdListItem"/>
        <w:numPr>
          <w:ilvl w:val="0"/>
          <w:numId w:val="2"/>
        </w:numPr>
      </w:pPr>
      <w:r>
        <w:rPr>
          <w:rStyle w:val="MdStrong"/>
          <w:b/>
          <w:bCs/>
        </w:rPr>
        <w:t xml:space="preserve">استخدام Vector Database:</w:t>
      </w:r>
      <w:r>
        <w:t xml:space="preserve"> لتخزين نصوص المعايير والسياسات لتمكين البحث الدلالي (Semantic Search).</w:t>
      </w:r>
    </w:p>
    <w:p>
      <w:pPr>
        <w:pStyle w:val="MdListItem"/>
        <w:numPr>
          <w:ilvl w:val="0"/>
          <w:numId w:val="2"/>
        </w:numPr>
      </w:pPr>
      <w:r>
        <w:rPr>
          <w:rStyle w:val="MdStrong"/>
          <w:b/>
          <w:bCs/>
        </w:rPr>
        <w:t xml:space="preserve">واجهة مستخدم بديهية:</w:t>
      </w:r>
      <w:r>
        <w:t xml:space="preserve"> تصميم واجهة الأسئلة لتكون أشبه بمحادثة (Conversational UI) لتقليل "رهبة الامتثال".</w:t>
      </w:r>
    </w:p>
    <w:p>
      <w:pPr>
        <w:pStyle w:val="MdListItem"/>
        <w:numPr>
          <w:ilvl w:val="0"/>
          <w:numId w:val="2"/>
        </w:numPr>
      </w:pPr>
      <w:r>
        <w:rPr>
          <w:rStyle w:val="MdStrong"/>
          <w:b/>
          <w:bCs/>
        </w:rPr>
        <w:t xml:space="preserve">التدقيق الاستباقي:</w:t>
      </w:r>
      <w:r>
        <w:t xml:space="preserve"> محرك الأسئلة يجب أن يطلب "دليل عينة" (Sample Evidence) فور الإجابة بـ "نعم" للتأكد من مصداقية الإجابة.</w:t>
      </w:r>
    </w:p>
    <w:p>
      <w:pPr>
        <w:pStyle w:val="MdSpace"/>
        <w:spacing w:before="0" w:after="60"/>
      </w:pPr>
    </w:p>
    <w:p>
      <w:pPr>
        <w:pStyle w:val="MdParagraph"/>
      </w:pPr>
      <w:r>
        <w:t xml:space="preserve">هذا التصميم يحول المنصة من مجرد "نموذج أسئلة" إلى "مستشار سيبراني ذكي" يقود المورد نحو الشهادة بأقصر طريق ممكن.</w:t>
      </w:r>
    </w:p>
    <w:p>
      <w:pPr>
        <w:pStyle w:val="MdSpace"/>
        <w:spacing w:before="0" w:after="60"/>
      </w:pPr>
    </w:p>
    <w:p>
      <w:pPr>
        <w:pStyle w:val="Heading2"/>
        <w:pStyle w:val="MdHeading2"/>
      </w:pPr>
      <w:r>
        <w:t xml:space="preserve">6. نموذج الأسئلة الذكي وسير عمل التقييم الديناميكي (Intelligent Questioning Model &amp; Dynamic Assessment Workflow)</w:t>
      </w:r>
    </w:p>
    <w:p>
      <w:pPr>
        <w:pStyle w:val="MdParagraph"/>
      </w:pPr>
      <w:r>
        <w:t xml:space="preserve">لتحقيق أقصى قدر من الكفاءة وتقليل العبء على الشركات، يعتمد النظام على نموذج أسئلة تكيفي وسير عمل ديناميكي:</w:t>
      </w:r>
    </w:p>
    <w:p>
      <w:pPr>
        <w:pStyle w:val="MdSpace"/>
        <w:spacing w:before="0" w:after="60"/>
      </w:pPr>
    </w:p>
    <w:p>
      <w:pPr>
        <w:pStyle w:val="Heading3"/>
        <w:pStyle w:val="MdHeading3"/>
      </w:pPr>
      <w:r>
        <w:t xml:space="preserve">6.1. نموذج الأسئلة التكيفي (Adaptive Questioning Model)</w:t>
      </w:r>
    </w:p>
    <w:p>
      <w:pPr>
        <w:pStyle w:val="MdListItem"/>
        <w:numPr>
          <w:ilvl w:val="0"/>
          <w:numId w:val="3"/>
        </w:numPr>
      </w:pPr>
      <w:r>
        <w:rPr>
          <w:rStyle w:val="MdStrong"/>
          <w:b/>
          <w:bCs/>
        </w:rPr>
        <w:t xml:space="preserve">المنطق:</w:t>
      </w:r>
      <w:r>
        <w:t xml:space="preserve"> بدلاً من قائمة ثابتة، يتم توليد الأسئلة بشكل ديناميكي بناءً على:</w:t>
      </w:r>
    </w:p>
    <w:p>
      <w:pPr>
        <w:pStyle w:val="MdListItem"/>
        <w:numPr>
          <w:ilvl w:val="1"/>
          <w:numId w:val="3"/>
        </w:numPr>
      </w:pPr>
      <w:r>
        <w:rPr>
          <w:rStyle w:val="MdStrong"/>
          <w:b/>
          <w:bCs/>
        </w:rPr>
        <w:t xml:space="preserve">تصنيف الشركة الأولي:</w:t>
      </w:r>
      <w:r>
        <w:t xml:space="preserve"> (حجم، قطاع، نوع الخدمات).</w:t>
      </w:r>
    </w:p>
    <w:p>
      <w:pPr>
        <w:pStyle w:val="MdListItem"/>
        <w:numPr>
          <w:ilvl w:val="1"/>
          <w:numId w:val="3"/>
        </w:numPr>
      </w:pPr>
      <w:r>
        <w:rPr>
          <w:rStyle w:val="MdStrong"/>
          <w:b/>
          <w:bCs/>
        </w:rPr>
        <w:t xml:space="preserve">المعايير المحددة:</w:t>
      </w:r>
      <w:r>
        <w:t xml:space="preserve"> (أرامكو، سابك، NCA).</w:t>
      </w:r>
    </w:p>
    <w:p>
      <w:pPr>
        <w:pStyle w:val="MdListItem"/>
        <w:numPr>
          <w:ilvl w:val="1"/>
          <w:numId w:val="3"/>
        </w:numPr>
      </w:pPr>
      <w:r>
        <w:rPr>
          <w:rStyle w:val="MdStrong"/>
          <w:b/>
          <w:bCs/>
        </w:rPr>
        <w:t xml:space="preserve">الإجابات السابقة:</w:t>
      </w:r>
      <w:r>
        <w:t xml:space="preserve"> إجابة "نعم" على سؤال معين قد تفتح مجموعة جديدة من الأسئلة التفصيلية، بينما إجابة "لا" قد تخفي أسئلة غير ذات صلة.</w:t>
      </w:r>
    </w:p>
    <w:p>
      <w:pPr>
        <w:pStyle w:val="MdListItem"/>
        <w:numPr>
          <w:ilvl w:val="1"/>
          <w:numId w:val="3"/>
        </w:numPr>
      </w:pPr>
      <w:r>
        <w:rPr>
          <w:rStyle w:val="MdStrong"/>
          <w:b/>
          <w:bCs/>
        </w:rPr>
        <w:t xml:space="preserve">الضوابط المشتركة:</w:t>
      </w:r>
      <w:r>
        <w:t xml:space="preserve"> يتم طرح الأسئلة المتعلقة بالضوابط المشتركة مرة واحدة فقط، وتُطبق نتائجها على جميع المعايير ذات الصلة.</w:t>
      </w:r>
    </w:p>
    <w:p>
      <w:pPr>
        <w:pStyle w:val="MdListItem"/>
        <w:numPr>
          <w:ilvl w:val="0"/>
          <w:numId w:val="3"/>
        </w:numPr>
      </w:pPr>
      <w:r>
        <w:rPr>
          <w:rStyle w:val="MdStrong"/>
          <w:b/>
          <w:bCs/>
        </w:rPr>
        <w:t xml:space="preserve">الذكاء الاصطناعي في صياغة الأسئلة:</w:t>
      </w:r>
      <w:r>
        <w:t xml:space="preserve"> يمكن للذكاء الاصطناعي إعادة صياغة الأسئلة المعقدة بلغة أبسط، أو تقديم أمثلة توضيحية، أو حتى اقتراح أدلة محتملة بناءً على سياق السؤال.</w:t>
      </w:r>
    </w:p>
    <w:p>
      <w:pPr>
        <w:pStyle w:val="MdListItem"/>
        <w:numPr>
          <w:ilvl w:val="0"/>
          <w:numId w:val="3"/>
        </w:numPr>
      </w:pPr>
      <w:r>
        <w:rPr>
          <w:rStyle w:val="MdStrong"/>
          <w:b/>
          <w:bCs/>
        </w:rPr>
        <w:t xml:space="preserve">التحقق الفوري (Instant Validation):</w:t>
      </w:r>
      <w:r>
        <w:t xml:space="preserve"> يمكن للنظام، حيثما أمكن، التحقق من بعض الإجابات فورياً عبر التكاملات التقنية (مثل التحقق من تفعيل MFA في السحابة).</w:t>
      </w:r>
    </w:p>
    <w:p>
      <w:pPr>
        <w:pStyle w:val="MdSpace"/>
        <w:spacing w:before="0" w:after="60"/>
      </w:pPr>
    </w:p>
    <w:p>
      <w:pPr>
        <w:pStyle w:val="Heading3"/>
        <w:pStyle w:val="MdHeading3"/>
      </w:pPr>
      <w:r>
        <w:t xml:space="preserve">6.2. سير عمل التقييم الديناميكي (Dynamic Assessment Workflow)</w:t>
      </w:r>
    </w:p>
    <w:p>
      <w:pPr>
        <w:pStyle w:val="MdListItem"/>
        <w:numPr>
          <w:ilvl w:val="0"/>
          <w:numId w:val="3"/>
        </w:numPr>
      </w:pPr>
      <w:r>
        <w:rPr>
          <w:rStyle w:val="MdStrong"/>
          <w:b/>
          <w:bCs/>
        </w:rPr>
        <w:t xml:space="preserve">التوجيه خطوة بخطوة:</w:t>
      </w:r>
      <w:r>
        <w:t xml:space="preserve"> يتم توجيه المستخدم عبر مراحل التقييم بشكل واضح، مع إظهار التقدم المحرز والخطوات المتبقية.</w:t>
      </w:r>
    </w:p>
    <w:p>
      <w:pPr>
        <w:pStyle w:val="MdListItem"/>
        <w:numPr>
          <w:ilvl w:val="0"/>
          <w:numId w:val="3"/>
        </w:numPr>
      </w:pPr>
      <w:r>
        <w:rPr>
          <w:rStyle w:val="MdStrong"/>
          <w:b/>
          <w:bCs/>
        </w:rPr>
        <w:t xml:space="preserve">تحديد الأولويات:</w:t>
      </w:r>
      <w:r>
        <w:t xml:space="preserve"> يعرض النظام الضوابط الأكثر أهمية أو التي تشكل مخاطر أعلى أولاً، مما يساعد الشركات على التركيز على الجوانب الأكثر حرجاً.</w:t>
      </w:r>
    </w:p>
    <w:p>
      <w:pPr>
        <w:pStyle w:val="MdListItem"/>
        <w:numPr>
          <w:ilvl w:val="0"/>
          <w:numId w:val="3"/>
        </w:numPr>
      </w:pPr>
      <w:r>
        <w:rPr>
          <w:rStyle w:val="MdStrong"/>
          <w:b/>
          <w:bCs/>
        </w:rPr>
        <w:t xml:space="preserve">اقتراحات المعالجة (Remediation Suggestions):</w:t>
      </w:r>
      <w:r>
        <w:t xml:space="preserve"> في حال عدم الامتثال لضابط معين، يقدم النظام اقتراحات فورية لمعالجة الفجوة، وقد يتضمن ذلك قوالب سياسات، أو خطوات تقنية محددة، أو توجيهات من الـ Virtual CISO Chatbot.</w:t>
      </w:r>
    </w:p>
    <w:p>
      <w:pPr>
        <w:pStyle w:val="MdListItem"/>
        <w:numPr>
          <w:ilvl w:val="0"/>
          <w:numId w:val="3"/>
        </w:numPr>
      </w:pPr>
      <w:r>
        <w:rPr>
          <w:rStyle w:val="MdStrong"/>
          <w:b/>
          <w:bCs/>
        </w:rPr>
        <w:t xml:space="preserve">إدارة الأدلة (Evidence Management):</w:t>
      </w:r>
      <w:r>
        <w:t xml:space="preserve"> منصة مركزية لرفع وتخزين الأدلة، مع ربط كل دليل بالضوابط ذات الصلة. يمكن للمستخدمين رؤية حالة كل دليل (تم التحقق منه بواسطة AI، بانتظار مراجعة المدقق).</w:t>
      </w:r>
    </w:p>
    <w:p>
      <w:pPr>
        <w:pStyle w:val="MdListItem"/>
        <w:numPr>
          <w:ilvl w:val="0"/>
          <w:numId w:val="3"/>
        </w:numPr>
      </w:pPr>
      <w:r>
        <w:rPr>
          <w:rStyle w:val="MdStrong"/>
          <w:b/>
          <w:bCs/>
        </w:rPr>
        <w:t xml:space="preserve">مراجعة المدققين المبسطة:</w:t>
      </w:r>
      <w:r>
        <w:t xml:space="preserve"> عندما يتم إكمال التقييم الذاتي، يتم إرسال ملخص للمدقق المعتمد عبر بوابة المدققين، مع إبراز الضوابط التي تحتاج إلى مراجعة بشرية (خاصة تلك التي حصلت على Confidence Score منخفض من AI).</w:t>
      </w:r>
    </w:p>
    <w:p>
      <w:pPr>
        <w:pStyle w:val="MdListItem"/>
        <w:numPr>
          <w:ilvl w:val="0"/>
          <w:numId w:val="3"/>
        </w:numPr>
      </w:pPr>
      <w:r>
        <w:rPr>
          <w:rStyle w:val="MdStrong"/>
          <w:b/>
          <w:bCs/>
        </w:rPr>
        <w:t xml:space="preserve">الامتثال المستمر (Continuous Compliance):</w:t>
      </w:r>
      <w:r>
        <w:t xml:space="preserve"> بعد الحصول على الشهادة، يمكن للنظام مراقبة بعض الضوابط بشكل مستمر (عبر التكاملات التقنية) لتنبيه الشركة بأي انحراف عن حالة الامتثال.</w:t>
      </w:r>
    </w:p>
    <w:p>
      <w:pPr>
        <w:pStyle w:val="MdSpace"/>
        <w:spacing w:before="0" w:after="60"/>
      </w:pPr>
    </w:p>
    <w:p>
      <w:pPr>
        <w:pStyle w:val="Heading3"/>
        <w:pStyle w:val="MdHeading3"/>
      </w:pPr>
      <w:r>
        <w:t xml:space="preserve">6.3. التكامل مع أدوات التدقيق الخارجية (Integration with External Audit Tools)</w:t>
      </w:r>
    </w:p>
    <w:p>
      <w:pPr>
        <w:pStyle w:val="MdListItem"/>
        <w:numPr>
          <w:ilvl w:val="0"/>
          <w:numId w:val="3"/>
        </w:numPr>
      </w:pPr>
      <w:r>
        <w:t xml:space="preserve">يمكن للنظام توفير واجهات برمجية (APIs) لشركات التدقيق المعتمدة لدمج بيانات التقييم مباشرة في أنظمتها الخاصة، مما يسهل عملية التدقيق ويقلل من الحاجة إلى إدخال البيانات يدوياً.</w:t>
      </w:r>
    </w:p>
    <w:p>
      <w:pPr>
        <w:pStyle w:val="MdSpace"/>
        <w:spacing w:before="0" w:after="60"/>
      </w:pPr>
    </w:p>
    <w:p>
      <w:pPr>
        <w:pStyle w:val="MdParagraph"/>
      </w:pPr>
      <w:r>
        <w:t xml:space="preserve">هذا النموذج يضمن أن تكون عملية الامتثال ليست مجرد استبيان، بل تجربة تفاعلية وذكية توجه الشركات نحو تحقيق الامتثال بأقل جهد وأسرع وقت ممكن.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2fa1998a43f5a9cefafc24cb3c8004506f2b757.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2026-06-08T09:31:36.942Z</dcterms:created>
  <dcterms:modified xsi:type="dcterms:W3CDTF">2026-06-08T09:31:36.942Z</dcterms:modified>
</cp:coreProperties>
</file>

<file path=docProps/custom.xml><?xml version="1.0" encoding="utf-8"?>
<Properties xmlns="http://schemas.openxmlformats.org/officeDocument/2006/custom-properties" xmlns:vt="http://schemas.openxmlformats.org/officeDocument/2006/docPropsVTypes"/>
</file>