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تصميم نظام CyberTrust KSA للتدقيق السيبراني</w:t>
      </w:r>
    </w:p>
    <w:p>
      <w:pPr>
        <w:pStyle w:val="MdParagraph"/>
      </w:pPr>
      <w:r>
        <w:t xml:space="preserve">بناءً على المتطلبات الوظيفية والتقنية المقدمة، يهدف تصميم نظام CyberTrust KSA إلى إنشاء منصة تدقيق سيبراني مؤتمتة وذكية، قادرة على تبسيط وتسريع عملية الامتثال لمعايير الهيئة الوطنية للأمن السيبراني (NCA)، مع إمكانية التوسع لدعم معايير أخرى مثل أرامكو (SCCC) وسابك (CyberTrust).</w:t>
      </w:r>
    </w:p>
    <w:p>
      <w:pPr>
        <w:pStyle w:val="MdSpace"/>
        <w:spacing w:before="0" w:after="60"/>
      </w:pPr>
    </w:p>
    <w:p>
      <w:pPr>
        <w:pStyle w:val="Heading2"/>
        <w:pStyle w:val="MdHeading2"/>
      </w:pPr>
      <w:r>
        <w:t xml:space="preserve">1. الرؤية المعمارية (System Architecture)</w:t>
      </w:r>
    </w:p>
    <w:p>
      <w:pPr>
        <w:pStyle w:val="MdParagraph"/>
      </w:pPr>
      <w:r>
        <w:t xml:space="preserve">يعتمد النظام على بنية الخدمات المصغرة (Microservices Architecture) لضمان المرونة، قابلية التوسع، وسهولة الصيانة. تتكون البنية من المكونات الرئيسية التالية:</w:t>
      </w:r>
    </w:p>
    <w:p>
      <w:pPr>
        <w:pStyle w:val="MdSpace"/>
        <w:spacing w:before="0" w:after="60"/>
      </w:pPr>
    </w:p>
    <w:p>
      <w:pPr>
        <w:pStyle w:val="MdParagraph"/>
      </w:pPr>
      <w:r>
        <w:drawing>
          <wp:inline distT="0" distB="0" distL="0" distR="0">
            <wp:extent cx="5715000" cy="1219200"/>
            <wp:effectExtent t="0" r="0" b="0" l="0"/>
            <wp:docPr id="1" name="CyberTrust KSA Architecture Diagram" descr="CyberTrust KSA Architecture Diagram" title="CyberTrust KSA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1219200"/>
                    </a:xfrm>
                    <a:prstGeom prst="rect">
                      <a:avLst/>
                    </a:prstGeom>
                  </pic:spPr>
                </pic:pic>
              </a:graphicData>
            </a:graphic>
          </wp:inline>
        </w:drawing>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graph TD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A[Load Balancer] --&gt; B(Web Frontend)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--&gt; C(API Gateway)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 --&gt; D(Mobile Apps)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E(Auth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F(Evidence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G(AI/NLP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H(Compliance Engine)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I(Risk Scoring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J(Integration Hub)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K(Auditor Portal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 --&gt; L(Reporting &amp; Analytics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M(MySQL DB)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--&gt;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--&gt;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 --&gt;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 --&gt; N(Redis Cache)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--&gt; 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 --&gt; O(Elasticsearch)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 --&gt;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 --&gt; P(Object Storage - S3/MinIO)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--&gt; Q(External APIs - Cloud, Security Tools, HR, Government)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 --&gt; R(OpenAI API, Hugging Face)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Backend Services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Data Stores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subgraph External Integrations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A fill:#f9f,stroke:#333,stroke-width:2px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B fill:#bbf,stroke:#333,stroke-width:2px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C fill:#bbf,stroke:#333,stroke-width:2px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D fill:#bbf,stroke:#333,stroke-width:2px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E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F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G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H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I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J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K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L fill:#ccf,stroke:#333,stroke-width:2px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M fill:#fcf,stroke:#333,stroke-width:2px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N fill:#fcf,stroke:#333,stroke-width:2px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O fill:#fcf,stroke:#333,stroke-width:2px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P fill:#fcf,stroke:#333,stroke-width:2px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Q fill:#afa,stroke:#333,stroke-width:2px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style R fill:#afa,stroke:#333,stroke-width:2px</w:t>
      </w:r>
    </w:p>
    <w:p>
      <w:pPr>
        <w:pStyle w:val="MdSpace"/>
        <w:spacing w:before="0" w:after="60"/>
      </w:pPr>
    </w:p>
    <w:p>
      <w:pPr>
        <w:pStyle w:val="Heading2"/>
        <w:pStyle w:val="MdHeading2"/>
      </w:pPr>
      <w:r>
        <w:t xml:space="preserve">2. الوحدات الوظيفية الرئيسية (Key Functional Modules)</w:t>
      </w:r>
    </w:p>
    <w:p>
      <w:pPr>
        <w:pStyle w:val="Heading3"/>
        <w:pStyle w:val="MdHeading3"/>
      </w:pPr>
      <w:r>
        <w:t xml:space="preserve">2.1. وحدة تحليل الأدلة بالذكاء الاصطناعي (AI Evidence Analyzer)</w:t>
      </w:r>
    </w:p>
    <w:p>
      <w:pPr>
        <w:pStyle w:val="MdListItem"/>
        <w:numPr>
          <w:ilvl w:val="0"/>
          <w:numId w:val="2"/>
        </w:numPr>
      </w:pPr>
      <w:r>
        <w:rPr>
          <w:rStyle w:val="MdStrong"/>
          <w:b/>
          <w:bCs/>
        </w:rPr>
        <w:t xml:space="preserve">الوصف:</w:t>
      </w:r>
      <w:r>
        <w:t xml:space="preserve"> تستخدم معالجة اللغات الطبيعية (NLP) لتحليل وثائق السياسات، المخططات الشبكية، وخطط التعافي من الكوارث. تقوم بمقارنة المحتوى بمتطلبات NCA وتحديد الفجوات.</w:t>
      </w:r>
    </w:p>
    <w:p>
      <w:pPr>
        <w:pStyle w:val="MdListItem"/>
        <w:numPr>
          <w:ilvl w:val="0"/>
          <w:numId w:val="2"/>
        </w:numPr>
      </w:pPr>
      <w:r>
        <w:rPr>
          <w:rStyle w:val="MdStrong"/>
          <w:b/>
          <w:bCs/>
        </w:rPr>
        <w:t xml:space="preserve">التقنيات:</w:t>
      </w:r>
      <w:r>
        <w:t xml:space="preserve"> FastAPI, OpenAI GPT-4 API, Hugging Face Transformers, CAMeL Tools (للدعم العربي).</w:t>
      </w:r>
    </w:p>
    <w:p>
      <w:pPr>
        <w:pStyle w:val="MdListItem"/>
        <w:numPr>
          <w:ilvl w:val="0"/>
          <w:numId w:val="2"/>
        </w:numPr>
      </w:pPr>
      <w:r>
        <w:rPr>
          <w:rStyle w:val="MdStrong"/>
          <w:b/>
          <w:bCs/>
        </w:rPr>
        <w:t xml:space="preserve">المخرجات:</w:t>
      </w:r>
      <w:r>
        <w:t xml:space="preserve"> تقارير تحليل الفجوات، تحديد الضوابط المفقودة، نتائج تحليل الثقة (Confidence Scores).</w:t>
      </w:r>
    </w:p>
    <w:p>
      <w:pPr>
        <w:pStyle w:val="MdSpace"/>
        <w:spacing w:before="0" w:after="60"/>
      </w:pPr>
    </w:p>
    <w:p>
      <w:pPr>
        <w:pStyle w:val="Heading3"/>
        <w:pStyle w:val="MdHeading3"/>
      </w:pPr>
      <w:r>
        <w:t xml:space="preserve">2.2. وحدة التكامل التقني المؤتمت (Automated Technical Integrations)</w:t>
      </w:r>
    </w:p>
    <w:p>
      <w:pPr>
        <w:pStyle w:val="MdListItem"/>
        <w:numPr>
          <w:ilvl w:val="0"/>
          <w:numId w:val="2"/>
        </w:numPr>
      </w:pPr>
      <w:r>
        <w:rPr>
          <w:rStyle w:val="MdStrong"/>
          <w:b/>
          <w:bCs/>
        </w:rPr>
        <w:t xml:space="preserve">الوصف:</w:t>
      </w:r>
      <w:r>
        <w:t xml:space="preserve"> تتكامل مباشرة مع مزودي الخدمات السحابية (AWS, Azure, Alibaba Cloud, STC Cloud) وأدوات الأمن (CrowdStrike, Fortinet) لجمع الأدلة التقنية تلقائياً (مثل قواعد جدار الحماية، حالة التشفير، إعدادات MFA).</w:t>
      </w:r>
    </w:p>
    <w:p>
      <w:pPr>
        <w:pStyle w:val="MdListItem"/>
        <w:numPr>
          <w:ilvl w:val="0"/>
          <w:numId w:val="2"/>
        </w:numPr>
      </w:pPr>
      <w:r>
        <w:rPr>
          <w:rStyle w:val="MdStrong"/>
          <w:b/>
          <w:bCs/>
        </w:rPr>
        <w:t xml:space="preserve">التقنيات:</w:t>
      </w:r>
      <w:r>
        <w:t xml:space="preserve"> FastAPI, Celery, Cloud SDKs (boto3), RabbitMQ/Redis.</w:t>
      </w:r>
    </w:p>
    <w:p>
      <w:pPr>
        <w:pStyle w:val="MdListItem"/>
        <w:numPr>
          <w:ilvl w:val="0"/>
          <w:numId w:val="2"/>
        </w:numPr>
      </w:pPr>
      <w:r>
        <w:rPr>
          <w:rStyle w:val="MdStrong"/>
          <w:b/>
          <w:bCs/>
        </w:rPr>
        <w:t xml:space="preserve">المخرجات:</w:t>
      </w:r>
      <w:r>
        <w:t xml:space="preserve"> أدلة تقنية مجمعة تلقائياً، سجلات مزامنة، تنبيهات بالفشل.</w:t>
      </w:r>
    </w:p>
    <w:p>
      <w:pPr>
        <w:pStyle w:val="MdSpace"/>
        <w:spacing w:before="0" w:after="60"/>
      </w:pPr>
    </w:p>
    <w:p>
      <w:pPr>
        <w:pStyle w:val="Heading3"/>
        <w:pStyle w:val="MdHeading3"/>
      </w:pPr>
      <w:r>
        <w:t xml:space="preserve">2.3. مساعد CISO الافتراضي (Virtual CISO Chatbot)</w:t>
      </w:r>
    </w:p>
    <w:p>
      <w:pPr>
        <w:pStyle w:val="MdListItem"/>
        <w:numPr>
          <w:ilvl w:val="0"/>
          <w:numId w:val="2"/>
        </w:numPr>
      </w:pPr>
      <w:r>
        <w:rPr>
          <w:rStyle w:val="MdStrong"/>
          <w:b/>
          <w:bCs/>
        </w:rPr>
        <w:t xml:space="preserve">الوصف:</w:t>
      </w:r>
      <w:r>
        <w:t xml:space="preserve"> روبوت محادثة يعمل بالذكاء الاصطناعي يوجه الموردين خلال عملية الامتثال، يشرح ضوابط NCA المعقدة، ويوفر قوالب جاهزة للسياسات. يدعم اللغتين العربية والإنجليزية.</w:t>
      </w:r>
    </w:p>
    <w:p>
      <w:pPr>
        <w:pStyle w:val="MdListItem"/>
        <w:numPr>
          <w:ilvl w:val="0"/>
          <w:numId w:val="2"/>
        </w:numPr>
      </w:pPr>
      <w:r>
        <w:rPr>
          <w:rStyle w:val="MdStrong"/>
          <w:b/>
          <w:bCs/>
        </w:rPr>
        <w:t xml:space="preserve">التقنيات:</w:t>
      </w:r>
      <w:r>
        <w:t xml:space="preserve"> FastAPI, OpenAI API, Hugging Face, CAMeL Tools.</w:t>
      </w:r>
    </w:p>
    <w:p>
      <w:pPr>
        <w:pStyle w:val="MdListItem"/>
        <w:numPr>
          <w:ilvl w:val="0"/>
          <w:numId w:val="2"/>
        </w:numPr>
      </w:pPr>
      <w:r>
        <w:rPr>
          <w:rStyle w:val="MdStrong"/>
          <w:b/>
          <w:bCs/>
        </w:rPr>
        <w:t xml:space="preserve">المخرجات:</w:t>
      </w:r>
      <w:r>
        <w:t xml:space="preserve"> إجابات فورية، قوالب سياسات قابلة للتنزيل، تصعيد للدعم البشري عند الحاجة.</w:t>
      </w:r>
    </w:p>
    <w:p>
      <w:pPr>
        <w:pStyle w:val="MdSpace"/>
        <w:spacing w:before="0" w:after="60"/>
      </w:pPr>
    </w:p>
    <w:p>
      <w:pPr>
        <w:pStyle w:val="Heading3"/>
        <w:pStyle w:val="MdHeading3"/>
      </w:pPr>
      <w:r>
        <w:t xml:space="preserve">2.4. وحدة تصنيف المخاطر الديناميكي (Dynamic Risk Scoring)</w:t>
      </w:r>
    </w:p>
    <w:p>
      <w:pPr>
        <w:pStyle w:val="MdListItem"/>
        <w:numPr>
          <w:ilvl w:val="0"/>
          <w:numId w:val="2"/>
        </w:numPr>
      </w:pPr>
      <w:r>
        <w:rPr>
          <w:rStyle w:val="MdStrong"/>
          <w:b/>
          <w:bCs/>
        </w:rPr>
        <w:t xml:space="preserve">الوصف:</w:t>
      </w:r>
      <w:r>
        <w:t xml:space="preserve"> نظام تصنيف ذكي يحدد مستوى مخاطر المورد بناءً على استبيان أولي، ويضبط الضوابط المطبقة من NCA تلقائياً، ويولد خارطة طريق امتثال مخصصة.</w:t>
      </w:r>
    </w:p>
    <w:p>
      <w:pPr>
        <w:pStyle w:val="MdListItem"/>
        <w:numPr>
          <w:ilvl w:val="0"/>
          <w:numId w:val="2"/>
        </w:numPr>
      </w:pPr>
      <w:r>
        <w:rPr>
          <w:rStyle w:val="MdStrong"/>
          <w:b/>
          <w:bCs/>
        </w:rPr>
        <w:t xml:space="preserve">التقنيات:</w:t>
      </w:r>
      <w:r>
        <w:t xml:space="preserve"> FastAPI, scikit-learn, TensorFlow.</w:t>
      </w:r>
    </w:p>
    <w:p>
      <w:pPr>
        <w:pStyle w:val="MdListItem"/>
        <w:numPr>
          <w:ilvl w:val="0"/>
          <w:numId w:val="2"/>
        </w:numPr>
      </w:pPr>
      <w:r>
        <w:rPr>
          <w:rStyle w:val="MdStrong"/>
          <w:b/>
          <w:bCs/>
        </w:rPr>
        <w:t xml:space="preserve">المخرجات:</w:t>
      </w:r>
      <w:r>
        <w:t xml:space="preserve"> تصنيف المخاطر (عام/عالي المخاطر)، قائمة مخصصة بالضوابط المطبقة، خارطة طريق للامتثال.</w:t>
      </w:r>
    </w:p>
    <w:p>
      <w:pPr>
        <w:pStyle w:val="MdSpace"/>
        <w:spacing w:before="0" w:after="60"/>
      </w:pPr>
    </w:p>
    <w:p>
      <w:pPr>
        <w:pStyle w:val="Heading3"/>
        <w:pStyle w:val="MdHeading3"/>
      </w:pPr>
      <w:r>
        <w:t xml:space="preserve">2.5. بوابة المدققين (Auditor Portal)</w:t>
      </w:r>
    </w:p>
    <w:p>
      <w:pPr>
        <w:pStyle w:val="MdListItem"/>
        <w:numPr>
          <w:ilvl w:val="0"/>
          <w:numId w:val="2"/>
        </w:numPr>
      </w:pPr>
      <w:r>
        <w:rPr>
          <w:rStyle w:val="MdStrong"/>
          <w:b/>
          <w:bCs/>
        </w:rPr>
        <w:t xml:space="preserve">الوصف:</w:t>
      </w:r>
      <w:r>
        <w:t xml:space="preserve"> نظام سير عمل يمكّن شركات التدقيق المعتمدة من الوصول إلى الأدلة التي تم التحقق منها مسبقاً بواسطة الذكاء الاصطناعي. يمكن للمدققين مراجعة الأدلة، رؤية درجات الثقة للذكاء الاصطناعي، والموافقة على التقييمات بنقرة واحدة.</w:t>
      </w:r>
    </w:p>
    <w:p>
      <w:pPr>
        <w:pStyle w:val="MdListItem"/>
        <w:numPr>
          <w:ilvl w:val="0"/>
          <w:numId w:val="2"/>
        </w:numPr>
      </w:pPr>
      <w:r>
        <w:rPr>
          <w:rStyle w:val="MdStrong"/>
          <w:b/>
          <w:bCs/>
        </w:rPr>
        <w:t xml:space="preserve">التقنيات:</w:t>
      </w:r>
      <w:r>
        <w:t xml:space="preserve"> Django, MySQL.</w:t>
      </w:r>
    </w:p>
    <w:p>
      <w:pPr>
        <w:pStyle w:val="MdListItem"/>
        <w:numPr>
          <w:ilvl w:val="0"/>
          <w:numId w:val="2"/>
        </w:numPr>
      </w:pPr>
      <w:r>
        <w:rPr>
          <w:rStyle w:val="MdStrong"/>
          <w:b/>
          <w:bCs/>
        </w:rPr>
        <w:t xml:space="preserve">المخرجات:</w:t>
      </w:r>
      <w:r>
        <w:t xml:space="preserve"> لوحة تحكم للمدققين، تقارير تقييم، نظام موافقة بنقرة واحدة.</w:t>
      </w:r>
    </w:p>
    <w:p>
      <w:pPr>
        <w:pStyle w:val="MdSpace"/>
        <w:spacing w:before="0" w:after="60"/>
      </w:pPr>
    </w:p>
    <w:p>
      <w:pPr>
        <w:pStyle w:val="Heading3"/>
        <w:pStyle w:val="MdHeading3"/>
      </w:pPr>
      <w:r>
        <w:t xml:space="preserve">2.6. شارة CyberTrust الجاهزية الفورية (CyberTrust Real-Time Readiness Badge)</w:t>
      </w:r>
    </w:p>
    <w:p>
      <w:pPr>
        <w:pStyle w:val="MdListItem"/>
        <w:numPr>
          <w:ilvl w:val="0"/>
          <w:numId w:val="2"/>
        </w:numPr>
      </w:pPr>
      <w:r>
        <w:rPr>
          <w:rStyle w:val="MdStrong"/>
          <w:b/>
          <w:bCs/>
        </w:rPr>
        <w:t xml:space="preserve">الوصف:</w:t>
      </w:r>
      <w:r>
        <w:t xml:space="preserve"> شارة رقمية تصدرها المنصة بعد التقييم المسبق بالذكاء الاصطناعي ومراجعة المدقق، تعمل كمؤشر أولي للامتثال.</w:t>
      </w:r>
    </w:p>
    <w:p>
      <w:pPr>
        <w:pStyle w:val="MdListItem"/>
        <w:numPr>
          <w:ilvl w:val="0"/>
          <w:numId w:val="2"/>
        </w:numPr>
      </w:pPr>
      <w:r>
        <w:rPr>
          <w:rStyle w:val="MdStrong"/>
          <w:b/>
          <w:bCs/>
        </w:rPr>
        <w:t xml:space="preserve">التقنيات:</w:t>
      </w:r>
      <w:r>
        <w:t xml:space="preserve"> FastAPI, Object Storage (لتخزين صور الشارات).</w:t>
      </w:r>
    </w:p>
    <w:p>
      <w:pPr>
        <w:pStyle w:val="MdListItem"/>
        <w:numPr>
          <w:ilvl w:val="0"/>
          <w:numId w:val="2"/>
        </w:numPr>
      </w:pPr>
      <w:r>
        <w:rPr>
          <w:rStyle w:val="MdStrong"/>
          <w:b/>
          <w:bCs/>
        </w:rPr>
        <w:t xml:space="preserve">المخرجات:</w:t>
      </w:r>
      <w:r>
        <w:t xml:space="preserve"> شارة رقمية قابلة للتضمين، رابط تحقق عام، شهادة قابلة للتنزيل.</w:t>
      </w:r>
    </w:p>
    <w:p>
      <w:pPr>
        <w:pStyle w:val="MdSpace"/>
        <w:spacing w:before="0" w:after="60"/>
      </w:pPr>
    </w:p>
    <w:p>
      <w:pPr>
        <w:pStyle w:val="Heading2"/>
        <w:pStyle w:val="MdHeading2"/>
      </w:pPr>
      <w:r>
        <w:t xml:space="preserve">3. التحديات الرئيسية واستراتيجيات المعالجة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التحدي</w:t>
            </w:r>
          </w:p>
        </w:tc>
        <w:tc>
          <w:tcPr>
            <w:tcBorders>
              <w:right w:val="none"/>
            </w:tcBorders>
            <w:tcMar>
              <w:top w:type="dxa" w:w="100"/>
              <w:left w:type="dxa" w:w="120"/>
              <w:bottom w:type="dxa" w:w="100"/>
              <w:right w:type="dxa" w:w="120"/>
            </w:tcMar>
            <w:vAlign w:val="center"/>
          </w:tcPr>
          <w:p>
            <w:pPr>
              <w:pStyle w:val="MdTableHeader"/>
              <w:jc w:val="left"/>
            </w:pPr>
            <w:r>
              <w:t xml:space="preserve">استراتيجية المعالجة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دقة تحليل اللغة العربية</w:t>
            </w:r>
          </w:p>
        </w:tc>
        <w:tc>
          <w:tcPr>
            <w:tcBorders>
              <w:right w:val="none"/>
            </w:tcBorders>
            <w:tcMar>
              <w:top w:type="dxa" w:w="80"/>
              <w:left w:type="dxa" w:w="120"/>
              <w:bottom w:type="dxa" w:w="80"/>
              <w:right w:type="dxa" w:w="120"/>
            </w:tcMar>
            <w:vAlign w:val="center"/>
          </w:tcPr>
          <w:p>
            <w:pPr>
              <w:pStyle w:val="MdTableCell"/>
              <w:jc w:val="left"/>
            </w:pPr>
            <w:r>
              <w:t xml:space="preserve">استخدام نماذج NLP متقدمة مثل CAMeL Tools و AraBERT، مع تدريب مستمر للنماذج على بيانات سعودية خاصة.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التكامل مع الأنظمة الحكومية (نفاذ، اعتماد)</w:t>
            </w:r>
          </w:p>
        </w:tc>
        <w:tc>
          <w:tcPr>
            <w:tcBorders>
              <w:right w:val="none"/>
            </w:tcBorders>
            <w:tcMar>
              <w:top w:type="dxa" w:w="80"/>
              <w:left w:type="dxa" w:w="120"/>
              <w:bottom w:type="dxa" w:w="80"/>
              <w:right w:type="dxa" w:w="120"/>
            </w:tcMar>
            <w:vAlign w:val="center"/>
          </w:tcPr>
          <w:p>
            <w:pPr>
              <w:pStyle w:val="MdTableCell"/>
              <w:jc w:val="left"/>
            </w:pPr>
            <w:r>
              <w:t xml:space="preserve">تطوير Integration Hub مرن يدعم بروتوكولات API مختلفة (REST, SOAP)، مع دراسة متطلبات الرسوم والتراخيص لكل تكامل.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الموثوقية القانونية لنتائج الذكاء الاصطناعي</w:t>
            </w:r>
          </w:p>
        </w:tc>
        <w:tc>
          <w:tcPr>
            <w:tcBorders>
              <w:right w:val="none"/>
            </w:tcBorders>
            <w:tcMar>
              <w:top w:type="dxa" w:w="80"/>
              <w:left w:type="dxa" w:w="120"/>
              <w:bottom w:type="dxa" w:w="80"/>
              <w:right w:type="dxa" w:w="120"/>
            </w:tcMar>
            <w:vAlign w:val="center"/>
          </w:tcPr>
          <w:p>
            <w:pPr>
              <w:pStyle w:val="MdTableCell"/>
              <w:jc w:val="left"/>
            </w:pPr>
            <w:r>
              <w:t xml:space="preserve">تقديم "درجات الثقة" (Confidence Scores) لكل تحليل، وتوفير بوابة للمدققين لمراجعة وتأكيد النتائج، مع إمكانية التدخل البشري عند الحاجة.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أمن البيانات والخصوصية</w:t>
            </w:r>
          </w:p>
        </w:tc>
        <w:tc>
          <w:tcPr>
            <w:tcBorders>
              <w:right w:val="none"/>
            </w:tcBorders>
            <w:tcMar>
              <w:top w:type="dxa" w:w="80"/>
              <w:left w:type="dxa" w:w="120"/>
              <w:bottom w:type="dxa" w:w="80"/>
              <w:right w:type="dxa" w:w="120"/>
            </w:tcMar>
            <w:vAlign w:val="center"/>
          </w:tcPr>
          <w:p>
            <w:pPr>
              <w:pStyle w:val="MdTableCell"/>
              <w:jc w:val="left"/>
            </w:pPr>
            <w:r>
              <w:t xml:space="preserve">تطبيق معايير أمنية صارمة (التشفير في النقل والتخزين، إدارة الوصول القائمة على الأدوار RBAC)، والامتثال للوائح حماية البيانات الشخصية (PDPL).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قابلية التوسع والأداء</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استخدام بنية الخدمات المصغرة، الحوسبة السحابية (AWS/Azure)، وقواعد بيانات قابلة للتوسع (MySQL 8.0+, Elasticsearch).</w:t>
            </w:r>
          </w:p>
        </w:tc>
      </w:tr>
    </w:tbl>
    <w:p>
      <w:pPr>
        <w:pStyle w:val="Heading2"/>
        <w:pStyle w:val="MdHeading2"/>
      </w:pPr>
      <w:r>
        <w:t xml:space="preserve">4. خارطة طريق التنفيذ المقترحة (Implementation Roadmap)</w:t>
      </w:r>
    </w:p>
    <w:p>
      <w:pPr>
        <w:pStyle w:val="MdListItem"/>
        <w:numPr>
          <w:ilvl w:val="0"/>
          <w:numId w:val="3"/>
        </w:numPr>
      </w:pPr>
      <w:r>
        <w:rPr>
          <w:rStyle w:val="MdStrong"/>
          <w:b/>
          <w:bCs/>
        </w:rPr>
        <w:t xml:space="preserve">المرحلة الأولى (الأساس):</w:t>
      </w:r>
      <w:r>
        <w:t xml:space="preserve"> تطوير الوحدات الأساسية (AI Evidence Analyzer, Automated Integrations, Virtual CISO Chatbot) وبناء البنية التحتية الأساسية. التركيز على NCA ECC. (3-6 أشهر)</w:t>
      </w:r>
    </w:p>
    <w:p>
      <w:pPr>
        <w:pStyle w:val="MdListItem"/>
        <w:numPr>
          <w:ilvl w:val="0"/>
          <w:numId w:val="3"/>
        </w:numPr>
      </w:pPr>
      <w:r>
        <w:rPr>
          <w:rStyle w:val="MdStrong"/>
          <w:b/>
          <w:bCs/>
        </w:rPr>
        <w:t xml:space="preserve">المرحلة الثانية (التوسع):</w:t>
      </w:r>
      <w:r>
        <w:t xml:space="preserve"> تطوير Dynamic Risk Scoring, Auditor Portal, Real-Time Readiness Badge. دمج معايير NCA الأخرى (TCC, CSCC). (6-9 أشهر)</w:t>
      </w:r>
    </w:p>
    <w:p>
      <w:pPr>
        <w:pStyle w:val="MdListItem"/>
        <w:numPr>
          <w:ilvl w:val="0"/>
          <w:numId w:val="3"/>
        </w:numPr>
      </w:pPr>
      <w:r>
        <w:rPr>
          <w:rStyle w:val="MdStrong"/>
          <w:b/>
          <w:bCs/>
        </w:rPr>
        <w:t xml:space="preserve">المرحلة الثالثة (التحسين والتكامل):</w:t>
      </w:r>
      <w:r>
        <w:t xml:space="preserve"> تحسين أداء الذكاء الاصطناعي، إضافة ميزات متقدمة (Continuous Monitoring, Predictive Analytics)، وتوسيع التكامل مع معايير أرامكو وسابك. (9-12 شهر)</w:t>
      </w:r>
    </w:p>
    <w:p>
      <w:pPr>
        <w:pStyle w:val="MdSpace"/>
        <w:spacing w:before="0" w:after="60"/>
      </w:pPr>
    </w:p>
    <w:p>
      <w:pPr>
        <w:pStyle w:val="Heading2"/>
        <w:pStyle w:val="MdHeading2"/>
      </w:pPr>
      <w:r>
        <w:t xml:space="preserve">5. التوصيات</w:t>
      </w:r>
    </w:p>
    <w:p>
      <w:pPr>
        <w:pStyle w:val="MdListItem"/>
        <w:numPr>
          <w:ilvl w:val="0"/>
          <w:numId w:val="2"/>
        </w:numPr>
      </w:pPr>
      <w:r>
        <w:rPr>
          <w:rStyle w:val="MdStrong"/>
          <w:b/>
          <w:bCs/>
        </w:rPr>
        <w:t xml:space="preserve">البدء بنموذج MVP:</w:t>
      </w:r>
      <w:r>
        <w:t xml:space="preserve"> التركيز على بناء الحد الأدنى من المنتج القابل للتطبيق (MVP) الذي يغطي المتطلبات الأساسية لـ NCA ECC أولاً.</w:t>
      </w:r>
    </w:p>
    <w:p>
      <w:pPr>
        <w:pStyle w:val="MdListItem"/>
        <w:numPr>
          <w:ilvl w:val="0"/>
          <w:numId w:val="2"/>
        </w:numPr>
      </w:pPr>
      <w:r>
        <w:rPr>
          <w:rStyle w:val="MdStrong"/>
          <w:b/>
          <w:bCs/>
        </w:rPr>
        <w:t xml:space="preserve">الشراكات الاستراتيجية:</w:t>
      </w:r>
      <w:r>
        <w:t xml:space="preserve"> بناء شراكات قوية مع شركات التدقيق المعتمدة ومزودي الخدمات السحابية.</w:t>
      </w:r>
    </w:p>
    <w:p>
      <w:pPr>
        <w:pStyle w:val="MdListItem"/>
        <w:numPr>
          <w:ilvl w:val="0"/>
          <w:numId w:val="2"/>
        </w:numPr>
      </w:pPr>
      <w:r>
        <w:rPr>
          <w:rStyle w:val="MdStrong"/>
          <w:b/>
          <w:bCs/>
        </w:rPr>
        <w:t xml:space="preserve">الامتثال القانوني:</w:t>
      </w:r>
      <w:r>
        <w:t xml:space="preserve"> التأكد من الامتثال الكامل للوائح المحلية والدولية المتعلقة بالبيانات والخصوصية.</w:t>
      </w:r>
    </w:p>
    <w:p>
      <w:pPr>
        <w:pStyle w:val="MdSpace"/>
        <w:spacing w:before="0" w:after="60"/>
      </w:pPr>
    </w:p>
    <w:p>
      <w:pPr>
        <w:pStyle w:val="Heading2"/>
        <w:pStyle w:val="MdHeading2"/>
      </w:pPr>
      <w:r>
        <w:t xml:space="preserve">المراجع</w:t>
      </w:r>
    </w:p>
    <w:p>
      <w:pPr>
        <w:pStyle w:val="MdListItem"/>
        <w:numPr>
          <w:ilvl w:val="0"/>
          <w:numId w:val="2"/>
        </w:numPr>
      </w:pPr>
      <w:hyperlink w:history="1" r:id="rIdtgxlkw_ngmxmbnblkikiw">
        <w:r>
          <w:rPr>
            <w:rStyle w:val="MdLink"/>
          </w:rPr>
          <w:t xml:space="preserve">CyberTrust KSA Functional Requirements Specification</w:t>
        </w:r>
      </w:hyperlink>
    </w:p>
    <w:p>
      <w:pPr>
        <w:pStyle w:val="MdListItem"/>
        <w:numPr>
          <w:ilvl w:val="0"/>
          <w:numId w:val="2"/>
        </w:numPr>
      </w:pPr>
      <w:hyperlink w:history="1" r:id="rIdesk-c2gbou7zy9tocdruj">
        <w:r>
          <w:rPr>
            <w:rStyle w:val="MdLink"/>
          </w:rPr>
          <w:t xml:space="preserve">CyberTrust KSA Technical Requirements Specification</w:t>
        </w:r>
      </w:hyperlink>
    </w:p>
    <w:p>
      <w:pPr>
        <w:pStyle w:val="MdListItem"/>
        <w:numPr>
          <w:ilvl w:val="0"/>
          <w:numId w:val="2"/>
        </w:numPr>
      </w:pPr>
      <w:hyperlink w:history="1" r:id="rIdin1mc8kzrqrhyygyg2ctm">
        <w:r>
          <w:rPr>
            <w:rStyle w:val="MdLink"/>
          </w:rPr>
          <w:t xml:space="preserve">NCA Essential Cybersecurity Controls (ECC - 1 : 2018)</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gxlkw_ngmxmbnblkikiw" Type="http://schemas.openxmlformats.org/officeDocument/2006/relationships/hyperlink" Target="file:///home/ubuntu/upload/CyberTrust_KSA_Functional_Requirements.pdf" TargetMode="External"/><Relationship Id="rIdesk-c2gbou7zy9tocdruj" Type="http://schemas.openxmlformats.org/officeDocument/2006/relationships/hyperlink" Target="file:///home/ubuntu/upload/CyberTrust_KSA_Technical_Requirements.pdf" TargetMode="External"/><Relationship Id="rIdin1mc8kzrqrhyygyg2ctm" Type="http://schemas.openxmlformats.org/officeDocument/2006/relationships/hyperlink" Target="file:///home/ubuntu/upload/114NCA.pdf" TargetMode="External"/><Relationship Id="rId6" Type="http://schemas.openxmlformats.org/officeDocument/2006/relationships/image" Target="media/d7751ed22fae0797eca73b38ed0af50feb5118a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2026-06-08T09:31:59.738Z</dcterms:created>
  <dcterms:modified xsi:type="dcterms:W3CDTF">2026-06-08T09:31:59.738Z</dcterms:modified>
</cp:coreProperties>
</file>

<file path=docProps/custom.xml><?xml version="1.0" encoding="utf-8"?>
<Properties xmlns="http://schemas.openxmlformats.org/officeDocument/2006/custom-properties" xmlns:vt="http://schemas.openxmlformats.org/officeDocument/2006/docPropsVTypes"/>
</file>