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دليل تسجيل الجهات الحكومية والشركات في نظام نفاذ (Nafath)</w:t>
      </w:r>
    </w:p>
    <w:p>
      <w:pPr>
        <w:pStyle w:val="MdParagraph"/>
      </w:pPr>
      <w:r>
        <w:t xml:space="preserve">تختلف إجراءات التسجيل في نظام نفاذ بناءً على نوع الجهة (حكومية أو مؤسسية/خاصة)، حيث تتبع كل فئة مساراً تنظيمياً وتقنياً مختلفاً للتحول إلى "مزود خدمة" (Service Provider) معتمد.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تسجيل الجهات الحكومية (Government Entities)</w:t>
      </w:r>
    </w:p>
    <w:p>
      <w:pPr>
        <w:pStyle w:val="MdParagraph"/>
      </w:pPr>
      <w:r>
        <w:t xml:space="preserve">تتم إدارة شؤون الجهات الحكومية في نظام نفاذ والتحول الرقمي تحت إشراف </w:t>
      </w:r>
      <w:r>
        <w:rPr>
          <w:rStyle w:val="MdStrong"/>
          <w:b/>
          <w:bCs/>
        </w:rPr>
        <w:t xml:space="preserve">هيئة الحكومة الرقمية (DGA)</w:t>
      </w:r>
      <w:r>
        <w:t xml:space="preserve"> و</w:t>
      </w:r>
      <w:r>
        <w:rPr>
          <w:rStyle w:val="MdStrong"/>
          <w:b/>
          <w:bCs/>
        </w:rPr>
        <w:t xml:space="preserve">هيئة البيانات والذكاء الاصطناعي (SDAIA)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المتطلبات والخطوات: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تعيين مستشار التحول الرقمي:</w:t>
      </w:r>
      <w:r>
        <w:t xml:space="preserve"> يجب على الجهة الحكومية التواصل مع هيئة الحكومة الرقمية لتعيين مستشار خاص للجهة.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التسجيل في منصة "رقمي":</w:t>
      </w:r>
      <w:r>
        <w:t xml:space="preserve"> يتم تقديم طلبات التسجيل والربط عبر بوابة الخدمات الإلكترونية </w:t>
      </w:r>
      <w:hyperlink w:history="1" r:id="rIdhdrwyrfodbzfhtbkflidk">
        <w:r>
          <w:rPr>
            <w:rStyle w:val="MdLink"/>
          </w:rPr>
          <w:t xml:space="preserve">رقمي</w:t>
        </w:r>
      </w:hyperlink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التفويض:</w:t>
      </w:r>
      <w:r>
        <w:t xml:space="preserve"> يقوم مدير تقنية المعلومات في الجهة بتفويض ضابط اتصال مسؤول عن إدارة الخدمات والربط مع النفاذ الموحد.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التكامل التقني:</w:t>
      </w:r>
      <w:r>
        <w:t xml:space="preserve"> يتم الربط عبر الشبكة الحكومية الآمنة (GSN) التي يديرها مركز المعلومات الوطني (NIC).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تسجيل الشركات والمؤسسات (Private Sector &amp; Corporates)</w:t>
      </w:r>
    </w:p>
    <w:p>
      <w:pPr>
        <w:pStyle w:val="MdParagraph"/>
      </w:pPr>
      <w:r>
        <w:t xml:space="preserve">بالنسبة للقطاع الخاص، تتم جميع إجراءات التعاقد والربط التقني عبر شركة </w:t>
      </w:r>
      <w:r>
        <w:rPr>
          <w:rStyle w:val="MdStrong"/>
          <w:b/>
          <w:bCs/>
        </w:rPr>
        <w:t xml:space="preserve">"علم" (Elm)</w:t>
      </w:r>
      <w:r>
        <w:t xml:space="preserve"> بصفتها الشريك التشغيلي المعتمد.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المتطلبات والخطوات: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السجل التجاري:</w:t>
      </w:r>
      <w:r>
        <w:t xml:space="preserve"> يجب أن يكون لدى الشركة سجل تجاري ساري المفعول.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التعاقد مع "علم":</w:t>
      </w:r>
      <w:r>
        <w:t xml:space="preserve"> البدء بتقديم طلب عبر موقع شركة </w:t>
      </w:r>
      <w:hyperlink w:history="1" r:id="rIdlpqcmsvkibwdpaju4ewm3">
        <w:r>
          <w:rPr>
            <w:rStyle w:val="MdLink"/>
          </w:rPr>
          <w:t xml:space="preserve">علم</w:t>
        </w:r>
      </w:hyperlink>
      <w:r>
        <w:t xml:space="preserve"> لاختيار باقة الربط مع "نفاذ".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تحديد نوع الربط: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الربط المباشر (Direct Integration):</w:t>
      </w:r>
      <w:r>
        <w:t xml:space="preserve"> عبر واجهات برمجة التطبيقات (APIs) للشركات التي تملك أنظمة تقنية متطورة.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بوابات الربط الجاهزة:</w:t>
      </w:r>
      <w:r>
        <w:t xml:space="preserve"> للشركات التي ترغب في حلول سريعة دون تطوير تقني مكثف.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الرسوم:</w:t>
      </w:r>
      <w:r>
        <w:t xml:space="preserve"> تتضمن رسوم تأسيس واشتراك سنوي ورسوماً لكل عملية (Transaction-based fees).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جدول مقارنة بين إجراءات التسجيل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وجه المقارنة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الجهات الحكومية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الشركات والمؤسسات (الخاصة)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جهة الإشراف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هيئة الحكومة الرقمية (DGA)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شركة علم (Elm)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منصة التقديم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بوابة "رقمي" (Raqmi)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موقع شركة علم الإلكتروني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التكلفة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مدعومة حكومياً (غالباً بدون رسوم مباشرة)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رسوم تجارية (تأسيس + اشتراك + عمليات)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طريقة الربط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الشبكة الحكومية الآمنة (GSN)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الإنترنت العام عبر بروتوكولات آمنة (APIs)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المستند المطلوب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قرار تكليف/خطاب رسمي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سجل تجاري ساري المفعول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نصائح هامة للتسجيل الناجح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ضابط الاتصال:</w:t>
      </w:r>
      <w:r>
        <w:t xml:space="preserve"> تأكد من تعيين شخص تقني ملم بمتطلبات الربط (OAuth2 / OpenID Connect) ليكون ضابط الاتصال مع شركة علم أو هيئة الحكومة الرقمية.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البيئة التجريبية:</w:t>
      </w:r>
      <w:r>
        <w:t xml:space="preserve"> اطلب الوصول إلى بيئة الاختبار (Sandbox) قبل الانتقال للبيئة الحية للتأكد من سلامة تدفق البيانات.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تحديث البيانات في أبشر:</w:t>
      </w:r>
      <w:r>
        <w:t xml:space="preserve"> يجب أن تكون بيانات المفوضين (المديرين) محدثة في منصة أبشر، حيث أن الدخول الأولي لمنصات التسجيل غالباً ما يتطلب توثيقاً شخصياً عبر نفاذ.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المراجع</w:t>
      </w:r>
    </w:p>
    <w:p>
      <w:pPr>
        <w:pStyle w:val="MdListItem"/>
        <w:numPr>
          <w:ilvl w:val="0"/>
          <w:numId w:val="2"/>
        </w:numPr>
      </w:pPr>
      <w:hyperlink w:history="1" r:id="rIdxz8zfbuikrzt7bxgosekz">
        <w:r>
          <w:rPr>
            <w:rStyle w:val="MdLink"/>
          </w:rPr>
          <w:t xml:space="preserve">هيئة الحكومة الرقمية - الأسئلة الشائعة</w:t>
        </w:r>
      </w:hyperlink>
    </w:p>
    <w:p>
      <w:pPr>
        <w:pStyle w:val="MdListItem"/>
        <w:numPr>
          <w:ilvl w:val="0"/>
          <w:numId w:val="2"/>
        </w:numPr>
      </w:pPr>
      <w:hyperlink w:history="1" r:id="rIdqwk14po75h-upywev2-yb">
        <w:r>
          <w:rPr>
            <w:rStyle w:val="MdLink"/>
          </w:rPr>
          <w:t xml:space="preserve">منصة نفاذ الوطنية - SDAIA</w:t>
        </w:r>
      </w:hyperlink>
    </w:p>
    <w:p>
      <w:pPr>
        <w:pStyle w:val="MdListItem"/>
        <w:numPr>
          <w:ilvl w:val="0"/>
          <w:numId w:val="2"/>
        </w:numPr>
      </w:pPr>
      <w:hyperlink w:history="1" r:id="rIdkggwq9bwgnomfr8rfuydp">
        <w:r>
          <w:rPr>
            <w:rStyle w:val="MdLink"/>
          </w:rPr>
          <w:t xml:space="preserve">خدمات المعرفات الرقمية - شركة علم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drwyrfodbzfhtbkflidk" Type="http://schemas.openxmlformats.org/officeDocument/2006/relationships/hyperlink" Target="https://raqmi.dga.gov.sa" TargetMode="External"/><Relationship Id="rIdlpqcmsvkibwdpaju4ewm3" Type="http://schemas.openxmlformats.org/officeDocument/2006/relationships/hyperlink" Target="https://elm.sa" TargetMode="External"/><Relationship Id="rIdxz8zfbuikrzt7bxgosekz" Type="http://schemas.openxmlformats.org/officeDocument/2006/relationships/hyperlink" Target="https://dga.gov.sa/ar/faq" TargetMode="External"/><Relationship Id="rIdqwk14po75h-upywev2-yb" Type="http://schemas.openxmlformats.org/officeDocument/2006/relationships/hyperlink" Target="https://www.iam.gov.sa" TargetMode="External"/><Relationship Id="rIdkggwq9bwgnomfr8rfuydp" Type="http://schemas.openxmlformats.org/officeDocument/2006/relationships/hyperlink" Target="https://elm.sa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2026-06-08T07:52:20.858Z</dcterms:created>
  <dcterms:modified xsi:type="dcterms:W3CDTF">2026-06-08T07:52:20.858Z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