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دليل مصفوفة الأدلة لنظام CyberTrust KSA</w:t>
      </w:r>
    </w:p>
    <w:p>
      <w:pPr>
        <w:pStyle w:val="Heading2"/>
        <w:pStyle w:val="MdHeading2"/>
      </w:pPr>
      <w:r>
        <w:t xml:space="preserve">المقدمة</w:t>
      </w:r>
    </w:p>
    <w:p>
      <w:pPr>
        <w:pStyle w:val="MdParagraph"/>
      </w:pPr>
      <w:r>
        <w:t xml:space="preserve">تُعد مصفوفة الأدلة (Evidence Matrix) عنصراً حاسماً في نظام CyberTrust KSA، حيث تربط كل ضابط من ضوابط الامتثال السيبراني بنوع الدليل أو الشاهد المطلوب لإثبات تحقيقه. تهدف هذه الوثيقة إلى شرح هيكلية مصفوفة الأدلة، ومنهجية تصميمها، وكيفية استخدامها كأداة مركزية لتوجيه الشركات خلال عملية التدقيق، وتبسيط جمع الأدلة، وتحسين كفاءة التحقق من الامتثال.</w:t>
      </w:r>
    </w:p>
    <w:p>
      <w:pPr>
        <w:pStyle w:val="MdSpace"/>
        <w:spacing w:before="0" w:after="60"/>
      </w:pPr>
    </w:p>
    <w:p>
      <w:pPr>
        <w:pStyle w:val="Heading2"/>
        <w:pStyle w:val="MdHeading2"/>
      </w:pPr>
      <w:r>
        <w:t xml:space="preserve">1. منهجية تصميم مصفوفة الأدلة</w:t>
      </w:r>
    </w:p>
    <w:p>
      <w:pPr>
        <w:pStyle w:val="MdParagraph"/>
      </w:pPr>
      <w:r>
        <w:t xml:space="preserve">تم تصميم مصفوفة الأدلة بناءً على التحليل المتبادل لضوابط الامتثال المستخرجة من وثائق أرامكو (SACS-002)، سابك (CyberTrust)، والهيئة الوطنية للأمن السيبراني (NCA ECC). تم تصنيف كل ضابط ضمن محاور رئيسية (Themes) مثل "الحوكمة والسياسات"، "التحكم بالوصول والهوية"، و "أمن الشبكات". بعد ذلك، تم تحديد نوع الدليل المناسب لكل محور، مع الأخذ في الاعتبار أفضل الممارسات الأمنية ومتطلبات التدقيق.</w:t>
      </w:r>
    </w:p>
    <w:p>
      <w:pPr>
        <w:pStyle w:val="MdSpace"/>
        <w:spacing w:before="0" w:after="60"/>
      </w:pPr>
    </w:p>
    <w:p>
      <w:pPr>
        <w:pStyle w:val="Heading2"/>
        <w:pStyle w:val="MdHeading2"/>
      </w:pPr>
      <w:r>
        <w:t xml:space="preserve">2. نظرة عامة على مصفوفة الأدلة (ملف Excel)</w:t>
      </w:r>
    </w:p>
    <w:p>
      <w:pPr>
        <w:pStyle w:val="MdParagraph"/>
      </w:pPr>
      <w:r>
        <w:t xml:space="preserve">تم تجميع مصفوفة الأدلة في ملف Excel بعنوان </w:t>
      </w:r>
      <w:r>
        <w:rPr>
          <w:rStyle w:val="MdCode"/>
          <w:u w:val="single"/>
        </w:rPr>
        <w:t xml:space="preserve">CyberTrust_KSA_Evidence_Matrix.xlsx</w:t>
      </w:r>
      <w:r>
        <w:t xml:space="preserve">، ويتضمن الأعمدة الرئيسية التالية:</w:t>
      </w:r>
    </w:p>
    <w:p>
      <w:pPr>
        <w:pStyle w:val="MdSpace"/>
        <w:spacing w:before="0" w:after="60"/>
      </w:pPr>
    </w:p>
    <w:p>
      <w:pPr>
        <w:pStyle w:val="MdListItem"/>
        <w:numPr>
          <w:ilvl w:val="0"/>
          <w:numId w:val="2"/>
        </w:numPr>
      </w:pPr>
      <w:r>
        <w:rPr>
          <w:rStyle w:val="MdStrong"/>
          <w:b/>
          <w:bCs/>
        </w:rPr>
        <w:t xml:space="preserve">Control ID (معرف الضابط):</w:t>
      </w:r>
      <w:r>
        <w:t xml:space="preserve"> المعرف الفريد لكل ضابط امتثال.</w:t>
      </w:r>
    </w:p>
    <w:p>
      <w:pPr>
        <w:pStyle w:val="MdListItem"/>
        <w:numPr>
          <w:ilvl w:val="0"/>
          <w:numId w:val="2"/>
        </w:numPr>
      </w:pPr>
      <w:r>
        <w:rPr>
          <w:rStyle w:val="MdStrong"/>
          <w:b/>
          <w:bCs/>
        </w:rPr>
        <w:t xml:space="preserve">Source (المصدر):</w:t>
      </w:r>
      <w:r>
        <w:t xml:space="preserve"> الجهة التي ينتمي إليها الضابط (NCA ECC، Aramco SACS-002، SABIC CyberTrust).</w:t>
      </w:r>
    </w:p>
    <w:p>
      <w:pPr>
        <w:pStyle w:val="MdListItem"/>
        <w:numPr>
          <w:ilvl w:val="0"/>
          <w:numId w:val="2"/>
        </w:numPr>
      </w:pPr>
      <w:r>
        <w:rPr>
          <w:rStyle w:val="MdStrong"/>
          <w:b/>
          <w:bCs/>
        </w:rPr>
        <w:t xml:space="preserve">Statement (نص الضابط):</w:t>
      </w:r>
      <w:r>
        <w:t xml:space="preserve"> الوصف الكامل لمتطلب الامتثال.</w:t>
      </w:r>
    </w:p>
    <w:p>
      <w:pPr>
        <w:pStyle w:val="MdListItem"/>
        <w:numPr>
          <w:ilvl w:val="0"/>
          <w:numId w:val="2"/>
        </w:numPr>
      </w:pPr>
      <w:r>
        <w:rPr>
          <w:rStyle w:val="MdStrong"/>
          <w:b/>
          <w:bCs/>
        </w:rPr>
        <w:t xml:space="preserve">Themes (المحاور):</w:t>
      </w:r>
      <w:r>
        <w:t xml:space="preserve"> المحور الرئيسي الذي يندرج تحته الضابط (مثل Governance &amp; Policy، Access Control &amp; Identity).</w:t>
      </w:r>
    </w:p>
    <w:p>
      <w:pPr>
        <w:pStyle w:val="MdListItem"/>
        <w:numPr>
          <w:ilvl w:val="0"/>
          <w:numId w:val="2"/>
        </w:numPr>
      </w:pPr>
      <w:r>
        <w:rPr>
          <w:rStyle w:val="MdStrong"/>
          <w:b/>
          <w:bCs/>
        </w:rPr>
        <w:t xml:space="preserve">Evidence Type (نوع الدليل):</w:t>
      </w:r>
      <w:r>
        <w:t xml:space="preserve"> نوع المستند أو الشاهد المطلوب لإثبات الامتثال لهذا الضابط (مثل وثيقة سياسة مكتوبة، لقطة شاشة، تقرير فحص).</w:t>
      </w:r>
    </w:p>
    <w:p>
      <w:pPr>
        <w:pStyle w:val="MdListItem"/>
        <w:numPr>
          <w:ilvl w:val="0"/>
          <w:numId w:val="2"/>
        </w:numPr>
      </w:pPr>
      <w:r>
        <w:rPr>
          <w:rStyle w:val="MdStrong"/>
          <w:b/>
          <w:bCs/>
        </w:rPr>
        <w:t xml:space="preserve">Evidence Requirements (Arabic) (متطلبات الدليل - بالعربية):</w:t>
      </w:r>
      <w:r>
        <w:t xml:space="preserve"> وصف تفصيلي لما يجب أن يحتويه الدليل ليتم قبوله (مثل "وثيقة سياسة معتمدة من الإدارة، محدثة، وموزعة على الموظفين.").</w:t>
      </w:r>
    </w:p>
    <w:p>
      <w:pPr>
        <w:pStyle w:val="MdSpace"/>
        <w:spacing w:before="0" w:after="60"/>
      </w:pPr>
    </w:p>
    <w:p>
      <w:pPr>
        <w:pStyle w:val="Heading2"/>
        <w:pStyle w:val="MdHeading2"/>
      </w:pPr>
      <w:r>
        <w:t xml:space="preserve">3. دليل التنفيذ والاستخدام في نظام CyberTrust KSA</w:t>
      </w:r>
    </w:p>
    <w:p>
      <w:pPr>
        <w:pStyle w:val="MdParagraph"/>
      </w:pPr>
      <w:r>
        <w:t xml:space="preserve">ستكون مصفوفة الأدلة هي العمود الفقري لعدة وظائف رئيسية داخل نظام CyberTrust KSA:</w:t>
      </w:r>
    </w:p>
    <w:p>
      <w:pPr>
        <w:pStyle w:val="MdSpace"/>
        <w:spacing w:before="0" w:after="60"/>
      </w:pPr>
    </w:p>
    <w:p>
      <w:pPr>
        <w:pStyle w:val="Heading3"/>
        <w:pStyle w:val="MdHeading3"/>
      </w:pPr>
      <w:r>
        <w:t xml:space="preserve">أ. للشركات (المستخدم النهائي):</w:t>
      </w:r>
    </w:p>
    <w:p>
      <w:pPr>
        <w:pStyle w:val="MdListItem"/>
        <w:numPr>
          <w:ilvl w:val="0"/>
          <w:numId w:val="2"/>
        </w:numPr>
      </w:pPr>
      <w:r>
        <w:rPr>
          <w:rStyle w:val="MdStrong"/>
          <w:b/>
          <w:bCs/>
        </w:rPr>
        <w:t xml:space="preserve">توجيه واضح:</w:t>
      </w:r>
      <w:r>
        <w:t xml:space="preserve"> ستوفر المصفوفة للشركات إرشادات واضحة حول نوع الأدلة المطلوبة لكل ضابط، مما يقلل من الالتباس ويسرع عملية جمع الأدلة.</w:t>
      </w:r>
    </w:p>
    <w:p>
      <w:pPr>
        <w:pStyle w:val="MdListItem"/>
        <w:numPr>
          <w:ilvl w:val="0"/>
          <w:numId w:val="2"/>
        </w:numPr>
      </w:pPr>
      <w:r>
        <w:rPr>
          <w:rStyle w:val="MdStrong"/>
          <w:b/>
          <w:bCs/>
        </w:rPr>
        <w:t xml:space="preserve">قوالب الأدلة:</w:t>
      </w:r>
      <w:r>
        <w:t xml:space="preserve"> يمكن للنظام توفير قوالب جاهزة للمستندات الشائعة (مثل سياسات الأمن السيبراني) لمساعدة الشركات على إعداد الأدلة بشكل صحيح.</w:t>
      </w:r>
    </w:p>
    <w:p>
      <w:pPr>
        <w:pStyle w:val="MdListItem"/>
        <w:numPr>
          <w:ilvl w:val="0"/>
          <w:numId w:val="2"/>
        </w:numPr>
      </w:pPr>
      <w:r>
        <w:rPr>
          <w:rStyle w:val="MdStrong"/>
          <w:b/>
          <w:bCs/>
        </w:rPr>
        <w:t xml:space="preserve">تحسين الجودة:</w:t>
      </w:r>
      <w:r>
        <w:t xml:space="preserve"> من خلال تحديد المتطلبات الدقيقة لكل دليل، يمكن للشركات التأكد من أن الأدلة التي تقدمها ذات جودة عالية وتلبي معايير التدقيق.</w:t>
      </w:r>
    </w:p>
    <w:p>
      <w:pPr>
        <w:pStyle w:val="MdSpace"/>
        <w:spacing w:before="0" w:after="60"/>
      </w:pPr>
    </w:p>
    <w:p>
      <w:pPr>
        <w:pStyle w:val="Heading3"/>
        <w:pStyle w:val="MdHeading3"/>
      </w:pPr>
      <w:r>
        <w:t xml:space="preserve">ب. للنظام (الأتمتة والذكاء الاصطناعي):</w:t>
      </w:r>
    </w:p>
    <w:p>
      <w:pPr>
        <w:pStyle w:val="MdListItem"/>
        <w:numPr>
          <w:ilvl w:val="0"/>
          <w:numId w:val="2"/>
        </w:numPr>
      </w:pPr>
      <w:r>
        <w:rPr>
          <w:rStyle w:val="MdStrong"/>
          <w:b/>
          <w:bCs/>
        </w:rPr>
        <w:t xml:space="preserve">محرك الأسئلة الذكي:</w:t>
      </w:r>
      <w:r>
        <w:t xml:space="preserve"> سيستخدم النظام نوع الدليل ومتطلباته لتوجيه الأسئلة للشركة. على سبيل المثال، إذا كان نوع الدليل هو "وثيقة سياسة مكتوبة"، يمكن للنظام أن يسأل: "هل لديك سياسة أمن معلومات مكتوبة ومعتمدة؟ يرجى إرفاقها."</w:t>
      </w:r>
    </w:p>
    <w:p>
      <w:pPr>
        <w:pStyle w:val="MdListItem"/>
        <w:numPr>
          <w:ilvl w:val="0"/>
          <w:numId w:val="2"/>
        </w:numPr>
      </w:pPr>
      <w:r>
        <w:rPr>
          <w:rStyle w:val="MdStrong"/>
          <w:b/>
          <w:bCs/>
        </w:rPr>
        <w:t xml:space="preserve">تحليل الأدلة الأولي:</w:t>
      </w:r>
      <w:r>
        <w:t xml:space="preserve"> في المستقبل، يمكن لنموذج الذكاء الاصطناعي (AI Evidence Analyzer) استخدام "متطلبات الدليل" كمعيار لتقييم المستندات المرفقة تلقائياً (مثل التحقق من وجود بنود معينة في السياسة).</w:t>
      </w:r>
    </w:p>
    <w:p>
      <w:pPr>
        <w:pStyle w:val="MdListItem"/>
        <w:numPr>
          <w:ilvl w:val="0"/>
          <w:numId w:val="2"/>
        </w:numPr>
      </w:pPr>
      <w:r>
        <w:rPr>
          <w:rStyle w:val="MdStrong"/>
          <w:b/>
          <w:bCs/>
        </w:rPr>
        <w:t xml:space="preserve">تتبع التقدم:</w:t>
      </w:r>
      <w:r>
        <w:t xml:space="preserve"> يمكن للنظام تتبع التقدم المحرز في جمع الأدلة لكل ضابط، مما يوفر لوحة تحكم واضحة للشركة والمدقق.</w:t>
      </w:r>
    </w:p>
    <w:p>
      <w:pPr>
        <w:pStyle w:val="MdSpace"/>
        <w:spacing w:before="0" w:after="60"/>
      </w:pPr>
    </w:p>
    <w:p>
      <w:pPr>
        <w:pStyle w:val="Heading3"/>
        <w:pStyle w:val="MdHeading3"/>
      </w:pPr>
      <w:r>
        <w:t xml:space="preserve">ج. للمدققين المعتمدين:</w:t>
      </w:r>
    </w:p>
    <w:p>
      <w:pPr>
        <w:pStyle w:val="MdListItem"/>
        <w:numPr>
          <w:ilvl w:val="0"/>
          <w:numId w:val="2"/>
        </w:numPr>
      </w:pPr>
      <w:r>
        <w:rPr>
          <w:rStyle w:val="MdStrong"/>
          <w:b/>
          <w:bCs/>
        </w:rPr>
        <w:t xml:space="preserve">كفاءة المراجعة:</w:t>
      </w:r>
      <w:r>
        <w:t xml:space="preserve"> سيتمكن المدققون من مراجعة الأدلة بشكل أكثر كفاءة، حيث ستكون الأدلة مصنفة ومرفقة بالضوابط ذات الصلة، مع وصف واضح للمتطلبات.</w:t>
      </w:r>
    </w:p>
    <w:p>
      <w:pPr>
        <w:pStyle w:val="MdListItem"/>
        <w:numPr>
          <w:ilvl w:val="0"/>
          <w:numId w:val="2"/>
        </w:numPr>
      </w:pPr>
      <w:r>
        <w:rPr>
          <w:rStyle w:val="MdStrong"/>
          <w:b/>
          <w:bCs/>
        </w:rPr>
        <w:t xml:space="preserve">توحيد المعايير:</w:t>
      </w:r>
      <w:r>
        <w:t xml:space="preserve"> تضمن المصفوفة أن جميع المدققين يتبعون نفس المعايير عند تقييم الأدلة، مما يعزز الاتساق والموثوقية.</w:t>
      </w:r>
    </w:p>
    <w:p>
      <w:pPr>
        <w:pStyle w:val="MdListItem"/>
        <w:numPr>
          <w:ilvl w:val="0"/>
          <w:numId w:val="2"/>
        </w:numPr>
      </w:pPr>
      <w:r>
        <w:rPr>
          <w:rStyle w:val="MdStrong"/>
          <w:b/>
          <w:bCs/>
        </w:rPr>
        <w:t xml:space="preserve">إعداد التقارير:</w:t>
      </w:r>
      <w:r>
        <w:t xml:space="preserve"> يمكن للمدققين استخدام المصفوفة كأساس لإعداد تقارير التدقيق، مع الإشارة إلى الأدلة المقدمة لكل ضابط.</w:t>
      </w:r>
    </w:p>
    <w:p>
      <w:pPr>
        <w:pStyle w:val="MdSpace"/>
        <w:spacing w:before="0" w:after="60"/>
      </w:pPr>
    </w:p>
    <w:p>
      <w:pPr>
        <w:pStyle w:val="Heading2"/>
        <w:pStyle w:val="MdHeading2"/>
      </w:pPr>
      <w:r>
        <w:t xml:space="preserve">4. التوصيات والخطوات التالية</w:t>
      </w:r>
    </w:p>
    <w:p>
      <w:pPr>
        <w:pStyle w:val="MdListItem"/>
        <w:numPr>
          <w:ilvl w:val="0"/>
          <w:numId w:val="2"/>
        </w:numPr>
      </w:pPr>
      <w:r>
        <w:rPr>
          <w:rStyle w:val="MdStrong"/>
          <w:b/>
          <w:bCs/>
        </w:rPr>
        <w:t xml:space="preserve">تطوير واجهة المستخدم:</w:t>
      </w:r>
      <w:r>
        <w:t xml:space="preserve"> بناء واجهة مستخدم في نظام CyberTrust KSA تسمح للشركات برفع الأدلة بسهولة وربطها بالضوابط المحددة في المصفوفة.</w:t>
      </w:r>
    </w:p>
    <w:p>
      <w:pPr>
        <w:pStyle w:val="MdListItem"/>
        <w:numPr>
          <w:ilvl w:val="0"/>
          <w:numId w:val="2"/>
        </w:numPr>
      </w:pPr>
      <w:r>
        <w:rPr>
          <w:rStyle w:val="MdStrong"/>
          <w:b/>
          <w:bCs/>
        </w:rPr>
        <w:t xml:space="preserve">بناء محرك تحليل الأدلة:</w:t>
      </w:r>
      <w:r>
        <w:t xml:space="preserve"> البدء في تطوير نموذج الذكاء الاصطناعي الذي يمكنه قراءة وتحليل الأدلة المرفقة تلقائياً بناءً على "متطلبات الدليل".</w:t>
      </w:r>
    </w:p>
    <w:p>
      <w:pPr>
        <w:pStyle w:val="MdListItem"/>
        <w:numPr>
          <w:ilvl w:val="0"/>
          <w:numId w:val="2"/>
        </w:numPr>
      </w:pPr>
      <w:r>
        <w:rPr>
          <w:rStyle w:val="MdStrong"/>
          <w:b/>
          <w:bCs/>
        </w:rPr>
        <w:t xml:space="preserve">تحديث مستمر:</w:t>
      </w:r>
      <w:r>
        <w:t xml:space="preserve"> يجب أن تكون مصفوفة الأدلة قابلة للتحديث والتعديل لمواكبة أي تغييرات في ضوابط الامتثال من الجهات المعنية (أرامكو، سابك، NCA).</w:t>
      </w:r>
    </w:p>
    <w:p>
      <w:pPr>
        <w:pStyle w:val="MdSpace"/>
        <w:spacing w:before="0" w:after="60"/>
      </w:pPr>
    </w:p>
    <w:p>
      <w:pPr>
        <w:pStyle w:val="Heading2"/>
        <w:pStyle w:val="MdHeading2"/>
      </w:pPr>
      <w:r>
        <w:t xml:space="preserve">المراجع</w:t>
      </w:r>
    </w:p>
    <w:p>
      <w:pPr>
        <w:pStyle w:val="MdListItem"/>
        <w:numPr>
          <w:ilvl w:val="0"/>
          <w:numId w:val="2"/>
        </w:numPr>
      </w:pPr>
      <w:hyperlink w:history="1" r:id="rIddgzom5jljgugvni6i27ip">
        <w:r>
          <w:rPr>
            <w:rStyle w:val="MdLink"/>
          </w:rPr>
          <w:t xml:space="preserve">CyberTrust_KSA_Mapping_Analysis.xlsx</w:t>
        </w:r>
      </w:hyperlink>
    </w:p>
    <w:p>
      <w:pPr>
        <w:pStyle w:val="MdListItem"/>
        <w:numPr>
          <w:ilvl w:val="0"/>
          <w:numId w:val="2"/>
        </w:numPr>
      </w:pPr>
      <w:hyperlink w:history="1" r:id="rIdcfearampyeyyguqlqwlda">
        <w:r>
          <w:rPr>
            <w:rStyle w:val="MdLink"/>
          </w:rPr>
          <w:t xml:space="preserve">CyberTrust_KSA_Evidence_Matrix.xlsx</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gzom5jljgugvni6i27ip" Type="http://schemas.openxmlformats.org/officeDocument/2006/relationships/hyperlink" Target="CyberTrust_KSA_Mapping_Analysis.xlsx" TargetMode="External"/><Relationship Id="rIdcfearampyeyyguqlqwlda" Type="http://schemas.openxmlformats.org/officeDocument/2006/relationships/hyperlink" Target="CyberTrust_KSA_Evidence_Matrix.xlsx"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2026-06-08T09:29:54.559Z</dcterms:created>
  <dcterms:modified xsi:type="dcterms:W3CDTF">2026-06-08T09:29:54.559Z</dcterms:modified>
</cp:coreProperties>
</file>

<file path=docProps/custom.xml><?xml version="1.0" encoding="utf-8"?>
<Properties xmlns="http://schemas.openxmlformats.org/officeDocument/2006/custom-properties" xmlns:vt="http://schemas.openxmlformats.org/officeDocument/2006/docPropsVTypes"/>
</file>