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80" w:after="80"/>
      </w:pPr>
      <w:r>
        <w:t xml:space="preserve"/>
      </w:r>
    </w:p>
    <w:p>
      <w:pPr>
        <w:spacing w:before="80" w:after="80"/>
      </w:pPr>
      <w:r>
        <w:t xml:space="preserve"/>
      </w:r>
    </w:p>
    <w:p>
      <w:pPr>
        <w:spacing w:before="80" w:after="80"/>
      </w:pPr>
      <w:r>
        <w:t xml:space="preserve"/>
      </w:r>
    </w:p>
    <w:p>
      <w:pPr>
        <w:spacing w:before="480" w:after="120"/>
        <w:jc w:val="center"/>
      </w:pPr>
      <w:r>
        <w:rPr>
          <w:rFonts w:ascii="Arial" w:cs="Arial" w:eastAsia="Arial" w:hAnsi="Arial"/>
          <w:b/>
          <w:bCs/>
          <w:color w:val="1F4E79"/>
          <w:sz w:val="40"/>
          <w:szCs w:val="40"/>
        </w:rPr>
        <w:t xml:space="preserve">SOFTWARE REQUIREMENTS SPECIFICATION</w:t>
      </w:r>
    </w:p>
    <w:p>
      <w:pPr>
        <w:pBdr>
          <w:bottom w:val="single" w:color="2E75B6" w:sz="6" w:space="1"/>
        </w:pBdr>
        <w:spacing w:before="120" w:after="120"/>
        <w:jc w:val="center"/>
      </w:pPr>
      <w:r>
        <w:rPr>
          <w:rFonts w:ascii="Arial" w:cs="Arial" w:eastAsia="Arial" w:hAnsi="Arial"/>
          <w:b/>
          <w:bCs/>
          <w:color w:val="2E75B6"/>
          <w:sz w:val="48"/>
          <w:szCs w:val="48"/>
        </w:rPr>
        <w:t xml:space="preserve">AI-Powered Financial Auditing System</w:t>
      </w:r>
    </w:p>
    <w:p>
      <w:pPr>
        <w:spacing w:before="80" w:after="80"/>
      </w:pPr>
      <w:r>
        <w:t xml:space="preserve"/>
      </w:r>
    </w:p>
    <w:p>
      <w:pPr>
        <w:jc w:val="center"/>
      </w:pPr>
      <w:r>
        <w:rPr>
          <w:rFonts w:ascii="Arial" w:cs="Arial" w:eastAsia="Arial" w:hAnsi="Arial"/>
          <w:color w:val="595959"/>
          <w:sz w:val="28"/>
          <w:szCs w:val="28"/>
        </w:rPr>
        <w:t xml:space="preserve">Version 1.0</w:t>
      </w:r>
    </w:p>
    <w:p>
      <w:pPr>
        <w:spacing w:before="80" w:after="80"/>
        <w:jc w:val="center"/>
      </w:pPr>
      <w:r>
        <w:rPr>
          <w:rFonts w:ascii="Arial" w:cs="Arial" w:eastAsia="Arial" w:hAnsi="Arial"/>
          <w:color w:val="595959"/>
          <w:sz w:val="24"/>
          <w:szCs w:val="24"/>
        </w:rPr>
        <w:t xml:space="preserve">March 2026</w:t>
      </w:r>
    </w:p>
    <w:p>
      <w:pPr>
        <w:spacing w:before="80" w:after="80"/>
      </w:pPr>
      <w:r>
        <w:t xml:space="preserve"/>
      </w:r>
    </w:p>
    <w:p>
      <w:pPr>
        <w:spacing w:before="80" w:after="80"/>
      </w:pPr>
      <w:r>
        <w:t xml:space="preserve"/>
      </w:r>
    </w:p>
    <w:p>
      <w:pPr>
        <w:jc w:val="center"/>
      </w:pPr>
      <w:r>
        <w:rPr>
          <w:rFonts w:ascii="Arial" w:cs="Arial" w:eastAsia="Arial" w:hAnsi="Arial"/>
          <w:color w:val="404040"/>
          <w:sz w:val="24"/>
          <w:szCs w:val="24"/>
        </w:rPr>
        <w:t xml:space="preserve">Prepared by: Software Engineering Team</w:t>
      </w:r>
    </w:p>
    <w:p>
      <w:pPr>
        <w:jc w:val="center"/>
      </w:pPr>
      <w:r>
        <w:rPr>
          <w:rFonts w:ascii="Arial" w:cs="Arial" w:eastAsia="Arial" w:hAnsi="Arial"/>
          <w:b/>
          <w:bCs/>
          <w:color w:val="C00000"/>
          <w:sz w:val="22"/>
          <w:szCs w:val="22"/>
        </w:rPr>
        <w:t xml:space="preserve">Classification: Confidential</w:t>
      </w:r>
    </w:p>
    <w:p>
      <w:pPr>
        <w:spacing w:before="80" w:after="80"/>
      </w:pPr>
      <w:r>
        <w:t xml:space="preserve"/>
      </w:r>
    </w:p>
    <w:p>
      <w:pPr>
        <w:spacing w:before="80" w:after="80"/>
      </w:pPr>
      <w:r>
        <w:t xml:space="preserve"/>
      </w:r>
    </w:p>
    <w:p>
      <w:pPr>
        <w:pBdr>
          <w:top w:val="single" w:color="1F4E79" w:sz="4" w:space="6"/>
        </w:pBdr>
        <w:jc w:val="center"/>
      </w:pPr>
      <w:r>
        <w:rPr>
          <w:rFonts w:ascii="Arial" w:cs="Arial" w:eastAsia="Arial" w:hAnsi="Arial"/>
          <w:i/>
          <w:iCs/>
          <w:color w:val="595959"/>
          <w:sz w:val="20"/>
          <w:szCs w:val="20"/>
        </w:rPr>
        <w:t xml:space="preserve">This document contains the complete software requirements for the AI-powered financial auditing platform.</w:t>
      </w:r>
    </w:p>
    <w:p>
      <w:pPr>
        <w:sectPr>
          <w:pgSz w:w="12240" w:h="15840" w:orient="portrait"/>
          <w:pgMar w:top="1440" w:right="1440" w:bottom="1440" w:left="1440" w:header="708" w:footer="708" w:gutter="0"/>
          <w:pgNumType/>
          <w:docGrid w:linePitch="360"/>
        </w:sectPr>
      </w:pPr>
    </w:p>
    <w:p>
      <w:pPr>
        <w:pStyle w:val="Heading1"/>
        <w:spacing w:before="360" w:after="120"/>
      </w:pPr>
      <w:r>
        <w:rPr>
          <w:rFonts w:ascii="Arial" w:cs="Arial" w:eastAsia="Arial" w:hAnsi="Arial"/>
          <w:b/>
          <w:bCs/>
          <w:color w:val="1F4E79"/>
          <w:sz w:val="32"/>
          <w:szCs w:val="32"/>
        </w:rPr>
        <w:t xml:space="preserve">Table of Contents</w:t>
      </w:r>
    </w:p>
    <w:sdt>
      <w:sdtPr>
        <w:alias w:val="Table of Contents"/>
      </w:sdtPr>
      <w:sdtContent>
        <w:p>
          <w:r>
            <w:fldChar w:fldCharType="begin" w:dirty="true"/>
            <w:instrText xml:space="preserve">TOC \h \o "1-3"</w:instrText>
            <w:fldChar w:fldCharType="separate"/>
          </w:r>
        </w:p>
        <w:p>
          <w:r>
            <w:fldChar w:fldCharType="end"/>
          </w:r>
        </w:p>
      </w:sdtContent>
    </w:sdt>
    <w:p>
      <w:pPr>
        <w:spacing w:before="80" w:after="80"/>
      </w:pPr>
      <w:r>
        <w:t xml:space="preserve"/>
      </w:r>
    </w:p>
    <w:p>
      <w:pPr>
        <w:pStyle w:val="Heading1"/>
        <w:spacing w:before="360" w:after="120"/>
      </w:pPr>
      <w:r>
        <w:rPr>
          <w:rFonts w:ascii="Arial" w:cs="Arial" w:eastAsia="Arial" w:hAnsi="Arial"/>
          <w:b/>
          <w:bCs/>
          <w:color w:val="1F4E79"/>
          <w:sz w:val="32"/>
          <w:szCs w:val="32"/>
        </w:rPr>
        <w:t xml:space="preserve">1. Introduction</w:t>
      </w:r>
    </w:p>
    <w:p>
      <w:pPr>
        <w:pStyle w:val="Heading2"/>
        <w:spacing w:before="240" w:after="80"/>
      </w:pPr>
      <w:r>
        <w:rPr>
          <w:rFonts w:ascii="Arial" w:cs="Arial" w:eastAsia="Arial" w:hAnsi="Arial"/>
          <w:b/>
          <w:bCs/>
          <w:color w:val="2E75B6"/>
          <w:sz w:val="26"/>
          <w:szCs w:val="26"/>
        </w:rPr>
        <w:t xml:space="preserve">1.1 Purpose</w:t>
      </w:r>
    </w:p>
    <w:p>
      <w:pPr>
        <w:spacing w:before="60" w:after="100"/>
      </w:pPr>
      <w:r>
        <w:rPr>
          <w:rFonts w:ascii="Arial" w:cs="Arial" w:eastAsia="Arial" w:hAnsi="Arial"/>
          <w:sz w:val="22"/>
          <w:szCs w:val="22"/>
        </w:rPr>
        <w:t xml:space="preserve">This Software Requirements Specification (SRS) defines the functional and non-functional requirements for the AI-Powered Financial Auditing System (AIFAS). The document serves as the primary reference for system design, development, testing, and validation activities. It is intended for project stakeholders including developers, testers, financial auditors, compliance officers, and executive management.</w:t>
      </w:r>
    </w:p>
    <w:p>
      <w:pPr>
        <w:spacing w:before="80" w:after="80"/>
      </w:pPr>
      <w:r>
        <w:t xml:space="preserve"/>
      </w:r>
    </w:p>
    <w:p>
      <w:pPr>
        <w:pStyle w:val="Heading2"/>
        <w:spacing w:before="240" w:after="80"/>
      </w:pPr>
      <w:r>
        <w:rPr>
          <w:rFonts w:ascii="Arial" w:cs="Arial" w:eastAsia="Arial" w:hAnsi="Arial"/>
          <w:b/>
          <w:bCs/>
          <w:color w:val="2E75B6"/>
          <w:sz w:val="26"/>
          <w:szCs w:val="26"/>
        </w:rPr>
        <w:t xml:space="preserve">1.2 Scope</w:t>
      </w:r>
    </w:p>
    <w:p>
      <w:pPr>
        <w:spacing w:before="60" w:after="100"/>
      </w:pPr>
      <w:r>
        <w:rPr>
          <w:rFonts w:ascii="Arial" w:cs="Arial" w:eastAsia="Arial" w:hAnsi="Arial"/>
          <w:sz w:val="22"/>
          <w:szCs w:val="22"/>
        </w:rPr>
        <w:t xml:space="preserve">The AI-Powered Financial Auditing System (AIFAS) is an enterprise-grade platform designed to automate and enhance the financial auditing process through advanced artificial intelligence and machine learning technologies. The system will:</w:t>
      </w:r>
    </w:p>
    <w:p>
      <w:pPr>
        <w:pStyle w:val="ListParagraph"/>
        <w:numPr>
          <w:ilvl w:val="0"/>
          <w:numId w:val="2"/>
        </w:numPr>
        <w:spacing w:before="40" w:after="40"/>
      </w:pPr>
      <w:r>
        <w:rPr>
          <w:rFonts w:ascii="Arial" w:cs="Arial" w:eastAsia="Arial" w:hAnsi="Arial"/>
          <w:sz w:val="22"/>
          <w:szCs w:val="22"/>
        </w:rPr>
        <w:t xml:space="preserve">Automatically analyze large volumes of financial transactions, journal entries, and ledger data.</w:t>
      </w:r>
    </w:p>
    <w:p>
      <w:pPr>
        <w:pStyle w:val="ListParagraph"/>
        <w:numPr>
          <w:ilvl w:val="0"/>
          <w:numId w:val="2"/>
        </w:numPr>
        <w:spacing w:before="40" w:after="40"/>
      </w:pPr>
      <w:r>
        <w:rPr>
          <w:rFonts w:ascii="Arial" w:cs="Arial" w:eastAsia="Arial" w:hAnsi="Arial"/>
          <w:sz w:val="22"/>
          <w:szCs w:val="22"/>
        </w:rPr>
        <w:t xml:space="preserve">Detect anomalies, errors, and potentially fraudulent activities in real time.</w:t>
      </w:r>
    </w:p>
    <w:p>
      <w:pPr>
        <w:pStyle w:val="ListParagraph"/>
        <w:numPr>
          <w:ilvl w:val="0"/>
          <w:numId w:val="2"/>
        </w:numPr>
        <w:spacing w:before="40" w:after="40"/>
      </w:pPr>
      <w:r>
        <w:rPr>
          <w:rFonts w:ascii="Arial" w:cs="Arial" w:eastAsia="Arial" w:hAnsi="Arial"/>
          <w:sz w:val="22"/>
          <w:szCs w:val="22"/>
        </w:rPr>
        <w:t xml:space="preserve">Generate comprehensive audit reports with risk assessments and recommendations.</w:t>
      </w:r>
    </w:p>
    <w:p>
      <w:pPr>
        <w:pStyle w:val="ListParagraph"/>
        <w:numPr>
          <w:ilvl w:val="0"/>
          <w:numId w:val="2"/>
        </w:numPr>
        <w:spacing w:before="40" w:after="40"/>
      </w:pPr>
      <w:r>
        <w:rPr>
          <w:rFonts w:ascii="Arial" w:cs="Arial" w:eastAsia="Arial" w:hAnsi="Arial"/>
          <w:sz w:val="22"/>
          <w:szCs w:val="22"/>
        </w:rPr>
        <w:t xml:space="preserve">Ensure compliance with international auditing standards (ISA, GAAP, IFRS).</w:t>
      </w:r>
    </w:p>
    <w:p>
      <w:pPr>
        <w:pStyle w:val="ListParagraph"/>
        <w:numPr>
          <w:ilvl w:val="0"/>
          <w:numId w:val="2"/>
        </w:numPr>
        <w:spacing w:before="40" w:after="40"/>
      </w:pPr>
      <w:r>
        <w:rPr>
          <w:rFonts w:ascii="Arial" w:cs="Arial" w:eastAsia="Arial" w:hAnsi="Arial"/>
          <w:sz w:val="22"/>
          <w:szCs w:val="22"/>
        </w:rPr>
        <w:t xml:space="preserve">Reduce manual auditing effort by up to 70% while improving accuracy and coverage.</w:t>
      </w:r>
    </w:p>
    <w:p>
      <w:pPr>
        <w:pStyle w:val="ListParagraph"/>
        <w:numPr>
          <w:ilvl w:val="0"/>
          <w:numId w:val="2"/>
        </w:numPr>
        <w:spacing w:before="40" w:after="40"/>
      </w:pPr>
      <w:r>
        <w:rPr>
          <w:rFonts w:ascii="Arial" w:cs="Arial" w:eastAsia="Arial" w:hAnsi="Arial"/>
          <w:sz w:val="22"/>
          <w:szCs w:val="22"/>
        </w:rPr>
        <w:t xml:space="preserve">Provide a continuous auditing framework rather than periodic reviews.</w:t>
      </w:r>
    </w:p>
    <w:p>
      <w:pPr>
        <w:spacing w:before="80" w:after="80"/>
      </w:pPr>
      <w:r>
        <w:t xml:space="preserve"/>
      </w:r>
    </w:p>
    <w:p>
      <w:pPr>
        <w:pStyle w:val="Heading2"/>
        <w:spacing w:before="240" w:after="80"/>
      </w:pPr>
      <w:r>
        <w:rPr>
          <w:rFonts w:ascii="Arial" w:cs="Arial" w:eastAsia="Arial" w:hAnsi="Arial"/>
          <w:b/>
          <w:bCs/>
          <w:color w:val="2E75B6"/>
          <w:sz w:val="26"/>
          <w:szCs w:val="26"/>
        </w:rPr>
        <w:t xml:space="preserve">1.3 Definitions, Acronyms, and Abbreviations</w:t>
      </w:r>
    </w:p>
    <w:p>
      <w:pPr>
        <w:spacing w:before="8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500"/>
        <w:gridCol w:w="4860"/>
      </w:tblGrid>
      <w:tr>
        <w:trPr>
          <w:tblHeader/>
        </w:trPr>
        <w:tc>
          <w:tcPr>
            <w:tcW w:type="dxa" w:w="4500"/>
            <w:tcBorders>
              <w:top w:val="single" w:color="1F4E79" w:sz="1"/>
              <w:left w:val="single" w:color="1F4E79" w:sz="1"/>
              <w:bottom w:val="single" w:color="1F4E79" w:sz="1"/>
              <w:right w:val="single" w:color="1F4E79" w:sz="1"/>
            </w:tcBorders>
            <w:shd w:fill="1F4E79" w:val="clear"/>
            <w:tcMar>
              <w:top w:type="dxa" w:w="100"/>
              <w:left w:type="dxa" w:w="120"/>
              <w:bottom w:type="dxa" w:w="100"/>
              <w:right w:type="dxa" w:w="120"/>
            </w:tcMar>
            <w:vAlign w:val="center"/>
          </w:tcPr>
          <w:p>
            <w:pPr>
              <w:jc w:val="center"/>
            </w:pPr>
            <w:r>
              <w:rPr>
                <w:rFonts w:ascii="Arial" w:cs="Arial" w:eastAsia="Arial" w:hAnsi="Arial"/>
                <w:b/>
                <w:bCs/>
                <w:color w:val="FFFFFF"/>
                <w:sz w:val="20"/>
                <w:szCs w:val="20"/>
              </w:rPr>
              <w:t xml:space="preserve">Term / Acronym</w:t>
            </w:r>
          </w:p>
        </w:tc>
        <w:tc>
          <w:tcPr>
            <w:tcW w:type="dxa" w:w="4860"/>
            <w:tcBorders>
              <w:top w:val="single" w:color="1F4E79" w:sz="1"/>
              <w:left w:val="single" w:color="1F4E79" w:sz="1"/>
              <w:bottom w:val="single" w:color="1F4E79" w:sz="1"/>
              <w:right w:val="single" w:color="1F4E79" w:sz="1"/>
            </w:tcBorders>
            <w:shd w:fill="1F4E79" w:val="clear"/>
            <w:tcMar>
              <w:top w:type="dxa" w:w="100"/>
              <w:left w:type="dxa" w:w="120"/>
              <w:bottom w:type="dxa" w:w="100"/>
              <w:right w:type="dxa" w:w="120"/>
            </w:tcMar>
            <w:vAlign w:val="center"/>
          </w:tcPr>
          <w:p>
            <w:pPr>
              <w:jc w:val="center"/>
            </w:pPr>
            <w:r>
              <w:rPr>
                <w:rFonts w:ascii="Arial" w:cs="Arial" w:eastAsia="Arial" w:hAnsi="Arial"/>
                <w:b/>
                <w:bCs/>
                <w:color w:val="FFFFFF"/>
                <w:sz w:val="20"/>
                <w:szCs w:val="20"/>
              </w:rPr>
              <w:t xml:space="preserve">Definition</w:t>
            </w:r>
          </w:p>
        </w:tc>
      </w:tr>
      <w:tr>
        <w:tc>
          <w:tcPr>
            <w:tcW w:type="dxa" w:w="45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AIFAS</w:t>
            </w:r>
          </w:p>
        </w:tc>
        <w:tc>
          <w:tcPr>
            <w:tcW w:type="dxa" w:w="48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AI-Powered Financial Auditing System</w:t>
            </w:r>
          </w:p>
        </w:tc>
      </w:tr>
      <w:tr>
        <w:tc>
          <w:tcPr>
            <w:tcW w:type="dxa" w:w="4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AI</w:t>
            </w:r>
          </w:p>
        </w:tc>
        <w:tc>
          <w:tcPr>
            <w:tcW w:type="dxa" w:w="4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Artificial Intelligence</w:t>
            </w:r>
          </w:p>
        </w:tc>
      </w:tr>
      <w:tr>
        <w:tc>
          <w:tcPr>
            <w:tcW w:type="dxa" w:w="45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ML</w:t>
            </w:r>
          </w:p>
        </w:tc>
        <w:tc>
          <w:tcPr>
            <w:tcW w:type="dxa" w:w="48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Machine Learning</w:t>
            </w:r>
          </w:p>
        </w:tc>
      </w:tr>
      <w:tr>
        <w:tc>
          <w:tcPr>
            <w:tcW w:type="dxa" w:w="4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NLP</w:t>
            </w:r>
          </w:p>
        </w:tc>
        <w:tc>
          <w:tcPr>
            <w:tcW w:type="dxa" w:w="4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Natural Language Processing</w:t>
            </w:r>
          </w:p>
        </w:tc>
      </w:tr>
      <w:tr>
        <w:tc>
          <w:tcPr>
            <w:tcW w:type="dxa" w:w="45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ISA</w:t>
            </w:r>
          </w:p>
        </w:tc>
        <w:tc>
          <w:tcPr>
            <w:tcW w:type="dxa" w:w="48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International Standards on Auditing</w:t>
            </w:r>
          </w:p>
        </w:tc>
      </w:tr>
      <w:tr>
        <w:tc>
          <w:tcPr>
            <w:tcW w:type="dxa" w:w="4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GAAP</w:t>
            </w:r>
          </w:p>
        </w:tc>
        <w:tc>
          <w:tcPr>
            <w:tcW w:type="dxa" w:w="4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Generally Accepted Accounting Principles</w:t>
            </w:r>
          </w:p>
        </w:tc>
      </w:tr>
      <w:tr>
        <w:tc>
          <w:tcPr>
            <w:tcW w:type="dxa" w:w="45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IFRS</w:t>
            </w:r>
          </w:p>
        </w:tc>
        <w:tc>
          <w:tcPr>
            <w:tcW w:type="dxa" w:w="48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International Financial Reporting Standards</w:t>
            </w:r>
          </w:p>
        </w:tc>
      </w:tr>
      <w:tr>
        <w:tc>
          <w:tcPr>
            <w:tcW w:type="dxa" w:w="4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KPI</w:t>
            </w:r>
          </w:p>
        </w:tc>
        <w:tc>
          <w:tcPr>
            <w:tcW w:type="dxa" w:w="4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Key Performance Indicator</w:t>
            </w:r>
          </w:p>
        </w:tc>
      </w:tr>
      <w:tr>
        <w:tc>
          <w:tcPr>
            <w:tcW w:type="dxa" w:w="45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ERP</w:t>
            </w:r>
          </w:p>
        </w:tc>
        <w:tc>
          <w:tcPr>
            <w:tcW w:type="dxa" w:w="48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Enterprise Resource Planning</w:t>
            </w:r>
          </w:p>
        </w:tc>
      </w:tr>
      <w:tr>
        <w:tc>
          <w:tcPr>
            <w:tcW w:type="dxa" w:w="4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API</w:t>
            </w:r>
          </w:p>
        </w:tc>
        <w:tc>
          <w:tcPr>
            <w:tcW w:type="dxa" w:w="4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Application Programming Interface</w:t>
            </w:r>
          </w:p>
        </w:tc>
      </w:tr>
      <w:tr>
        <w:tc>
          <w:tcPr>
            <w:tcW w:type="dxa" w:w="45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RBAC</w:t>
            </w:r>
          </w:p>
        </w:tc>
        <w:tc>
          <w:tcPr>
            <w:tcW w:type="dxa" w:w="48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Role-Based Access Control</w:t>
            </w:r>
          </w:p>
        </w:tc>
      </w:tr>
      <w:tr>
        <w:tc>
          <w:tcPr>
            <w:tcW w:type="dxa" w:w="4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MFA</w:t>
            </w:r>
          </w:p>
        </w:tc>
        <w:tc>
          <w:tcPr>
            <w:tcW w:type="dxa" w:w="4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Multi-Factor Authentication</w:t>
            </w:r>
          </w:p>
        </w:tc>
      </w:tr>
      <w:tr>
        <w:tc>
          <w:tcPr>
            <w:tcW w:type="dxa" w:w="45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SRS</w:t>
            </w:r>
          </w:p>
        </w:tc>
        <w:tc>
          <w:tcPr>
            <w:tcW w:type="dxa" w:w="48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Software Requirements Specification</w:t>
            </w:r>
          </w:p>
        </w:tc>
      </w:tr>
      <w:tr>
        <w:tc>
          <w:tcPr>
            <w:tcW w:type="dxa" w:w="4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UAT</w:t>
            </w:r>
          </w:p>
        </w:tc>
        <w:tc>
          <w:tcPr>
            <w:tcW w:type="dxa" w:w="4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User Acceptance Testing</w:t>
            </w:r>
          </w:p>
        </w:tc>
      </w:tr>
      <w:tr>
        <w:tc>
          <w:tcPr>
            <w:tcW w:type="dxa" w:w="45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ROI</w:t>
            </w:r>
          </w:p>
        </w:tc>
        <w:tc>
          <w:tcPr>
            <w:tcW w:type="dxa" w:w="48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Return on Investment</w:t>
            </w:r>
          </w:p>
        </w:tc>
      </w:tr>
    </w:tbl>
    <w:p>
      <w:pPr>
        <w:spacing w:before="80" w:after="80"/>
      </w:pPr>
      <w:r>
        <w:t xml:space="preserve"/>
      </w:r>
    </w:p>
    <w:p>
      <w:pPr>
        <w:pStyle w:val="Heading2"/>
        <w:spacing w:before="240" w:after="80"/>
      </w:pPr>
      <w:r>
        <w:rPr>
          <w:rFonts w:ascii="Arial" w:cs="Arial" w:eastAsia="Arial" w:hAnsi="Arial"/>
          <w:b/>
          <w:bCs/>
          <w:color w:val="2E75B6"/>
          <w:sz w:val="26"/>
          <w:szCs w:val="26"/>
        </w:rPr>
        <w:t xml:space="preserve">1.4 Overview</w:t>
      </w:r>
    </w:p>
    <w:p>
      <w:pPr>
        <w:spacing w:before="60" w:after="100"/>
      </w:pPr>
      <w:r>
        <w:rPr>
          <w:rFonts w:ascii="Arial" w:cs="Arial" w:eastAsia="Arial" w:hAnsi="Arial"/>
          <w:sz w:val="22"/>
          <w:szCs w:val="22"/>
        </w:rPr>
        <w:t xml:space="preserve">The remainder of this document is organized as follows: Section 2 provides an overall description of the system; Section 3 details functional requirements; Section 4 describes non-functional requirements; Section 5 covers system constraints; Section 6 defines external interfaces; Section 7 addresses security requirements; and Section 8 outlines verification and validation criteria.</w:t>
      </w:r>
    </w:p>
    <w:p>
      <w:pPr>
        <w:spacing w:before="80" w:after="80"/>
      </w:pPr>
      <w:r>
        <w:t xml:space="preserve"/>
      </w:r>
    </w:p>
    <w:p>
      <w:pPr>
        <w:pStyle w:val="Heading2"/>
        <w:spacing w:before="240" w:after="80"/>
      </w:pPr>
      <w:r>
        <w:rPr>
          <w:rFonts w:ascii="Arial" w:cs="Arial" w:eastAsia="Arial" w:hAnsi="Arial"/>
          <w:b/>
          <w:bCs/>
          <w:color w:val="2E75B6"/>
          <w:sz w:val="26"/>
          <w:szCs w:val="26"/>
        </w:rPr>
        <w:t xml:space="preserve">1.5 References</w:t>
      </w:r>
    </w:p>
    <w:p>
      <w:pPr>
        <w:pStyle w:val="ListParagraph"/>
        <w:numPr>
          <w:ilvl w:val="0"/>
          <w:numId w:val="2"/>
        </w:numPr>
        <w:spacing w:before="40" w:after="40"/>
      </w:pPr>
      <w:r>
        <w:rPr>
          <w:rFonts w:ascii="Arial" w:cs="Arial" w:eastAsia="Arial" w:hAnsi="Arial"/>
          <w:sz w:val="22"/>
          <w:szCs w:val="22"/>
        </w:rPr>
        <w:t xml:space="preserve">IEEE Std 830-1998: IEEE Recommended Practice for Software Requirements Specifications</w:t>
      </w:r>
    </w:p>
    <w:p>
      <w:pPr>
        <w:pStyle w:val="ListParagraph"/>
        <w:numPr>
          <w:ilvl w:val="0"/>
          <w:numId w:val="2"/>
        </w:numPr>
        <w:spacing w:before="40" w:after="40"/>
      </w:pPr>
      <w:r>
        <w:rPr>
          <w:rFonts w:ascii="Arial" w:cs="Arial" w:eastAsia="Arial" w:hAnsi="Arial"/>
          <w:sz w:val="22"/>
          <w:szCs w:val="22"/>
        </w:rPr>
        <w:t xml:space="preserve">International Standard on Auditing (ISA) 315 – Identifying and Assessing Risks</w:t>
      </w:r>
    </w:p>
    <w:p>
      <w:pPr>
        <w:pStyle w:val="ListParagraph"/>
        <w:numPr>
          <w:ilvl w:val="0"/>
          <w:numId w:val="2"/>
        </w:numPr>
        <w:spacing w:before="40" w:after="40"/>
      </w:pPr>
      <w:r>
        <w:rPr>
          <w:rFonts w:ascii="Arial" w:cs="Arial" w:eastAsia="Arial" w:hAnsi="Arial"/>
          <w:sz w:val="22"/>
          <w:szCs w:val="22"/>
        </w:rPr>
        <w:t xml:space="preserve">IFRS Foundation: International Financial Reporting Standards (2024)</w:t>
      </w:r>
    </w:p>
    <w:p>
      <w:pPr>
        <w:pStyle w:val="ListParagraph"/>
        <w:numPr>
          <w:ilvl w:val="0"/>
          <w:numId w:val="2"/>
        </w:numPr>
        <w:spacing w:before="40" w:after="40"/>
      </w:pPr>
      <w:r>
        <w:rPr>
          <w:rFonts w:ascii="Arial" w:cs="Arial" w:eastAsia="Arial" w:hAnsi="Arial"/>
          <w:sz w:val="22"/>
          <w:szCs w:val="22"/>
        </w:rPr>
        <w:t xml:space="preserve">NIST SP 800-53: Security and Privacy Controls for Information Systems</w:t>
      </w:r>
    </w:p>
    <w:p>
      <w:pPr>
        <w:pStyle w:val="ListParagraph"/>
        <w:numPr>
          <w:ilvl w:val="0"/>
          <w:numId w:val="2"/>
        </w:numPr>
        <w:spacing w:before="40" w:after="40"/>
      </w:pPr>
      <w:r>
        <w:rPr>
          <w:rFonts w:ascii="Arial" w:cs="Arial" w:eastAsia="Arial" w:hAnsi="Arial"/>
          <w:sz w:val="22"/>
          <w:szCs w:val="22"/>
        </w:rPr>
        <w:t xml:space="preserve">ISO/IEC 27001:2022 – Information Security Management</w:t>
      </w:r>
    </w:p>
    <w:p>
      <w:pPr>
        <w:pStyle w:val="ListParagraph"/>
        <w:numPr>
          <w:ilvl w:val="0"/>
          <w:numId w:val="2"/>
        </w:numPr>
        <w:spacing w:before="40" w:after="40"/>
      </w:pPr>
      <w:r>
        <w:rPr>
          <w:rFonts w:ascii="Arial" w:cs="Arial" w:eastAsia="Arial" w:hAnsi="Arial"/>
          <w:sz w:val="22"/>
          <w:szCs w:val="22"/>
        </w:rPr>
        <w:t xml:space="preserve">PCAOB Auditing Standard AS 2301 – Auditor's Response to the Risk of Material Misstatement</w:t>
      </w:r>
    </w:p>
    <w:p>
      <w:pPr>
        <w:spacing w:before="80" w:after="80"/>
      </w:pPr>
      <w:r>
        <w:t xml:space="preserve"/>
      </w:r>
    </w:p>
    <w:p>
      <w:pPr>
        <w:pStyle w:val="Heading1"/>
        <w:spacing w:before="360" w:after="120"/>
      </w:pPr>
      <w:r>
        <w:rPr>
          <w:rFonts w:ascii="Arial" w:cs="Arial" w:eastAsia="Arial" w:hAnsi="Arial"/>
          <w:b/>
          <w:bCs/>
          <w:color w:val="1F4E79"/>
          <w:sz w:val="32"/>
          <w:szCs w:val="32"/>
        </w:rPr>
        <w:t xml:space="preserve">2. Overall Description</w:t>
      </w:r>
    </w:p>
    <w:p>
      <w:pPr>
        <w:pStyle w:val="Heading2"/>
        <w:spacing w:before="240" w:after="80"/>
      </w:pPr>
      <w:r>
        <w:rPr>
          <w:rFonts w:ascii="Arial" w:cs="Arial" w:eastAsia="Arial" w:hAnsi="Arial"/>
          <w:b/>
          <w:bCs/>
          <w:color w:val="2E75B6"/>
          <w:sz w:val="26"/>
          <w:szCs w:val="26"/>
        </w:rPr>
        <w:t xml:space="preserve">2.1 Product Perspective</w:t>
      </w:r>
    </w:p>
    <w:p>
      <w:pPr>
        <w:spacing w:before="60" w:after="100"/>
      </w:pPr>
      <w:r>
        <w:rPr>
          <w:rFonts w:ascii="Arial" w:cs="Arial" w:eastAsia="Arial" w:hAnsi="Arial"/>
          <w:sz w:val="22"/>
          <w:szCs w:val="22"/>
        </w:rPr>
        <w:t xml:space="preserve">AIFAS is a standalone enterprise system that integrates with existing financial infrastructure including ERP systems (SAP, Oracle, Microsoft Dynamics), accounting software (QuickBooks, Sage, Xero), and banking data feeds. The system operates as a centralized audit intelligence platform accessible via web browser and API endpoints.</w:t>
      </w:r>
    </w:p>
    <w:p>
      <w:pPr>
        <w:spacing w:before="80" w:after="80"/>
      </w:pPr>
      <w:r>
        <w:t xml:space="preserve"/>
      </w:r>
    </w:p>
    <w:p>
      <w:pPr>
        <w:spacing w:before="60" w:after="100"/>
      </w:pPr>
      <w:r>
        <w:rPr>
          <w:rFonts w:ascii="Arial" w:cs="Arial" w:eastAsia="Arial" w:hAnsi="Arial"/>
          <w:sz w:val="22"/>
          <w:szCs w:val="22"/>
        </w:rPr>
        <w:t xml:space="preserve">The following diagram illustrates the system's place within the broader financial ecosystem:</w:t>
      </w:r>
    </w:p>
    <w:p>
      <w:pPr>
        <w:spacing w:before="8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3000"/>
        <w:gridCol w:w="3360"/>
      </w:tblGrid>
      <w:tr>
        <w:trPr>
          <w:tblHeader/>
        </w:trPr>
        <w:tc>
          <w:tcPr>
            <w:tcW w:type="dxa" w:w="3000"/>
            <w:tcBorders>
              <w:top w:val="single" w:color="1F4E79" w:sz="1"/>
              <w:left w:val="single" w:color="1F4E79" w:sz="1"/>
              <w:bottom w:val="single" w:color="1F4E79" w:sz="1"/>
              <w:right w:val="single" w:color="1F4E79" w:sz="1"/>
            </w:tcBorders>
            <w:shd w:fill="1F4E79" w:val="clear"/>
            <w:tcMar>
              <w:top w:type="dxa" w:w="100"/>
              <w:left w:type="dxa" w:w="120"/>
              <w:bottom w:type="dxa" w:w="100"/>
              <w:right w:type="dxa" w:w="120"/>
            </w:tcMar>
            <w:vAlign w:val="center"/>
          </w:tcPr>
          <w:p>
            <w:pPr>
              <w:jc w:val="center"/>
            </w:pPr>
            <w:r>
              <w:rPr>
                <w:rFonts w:ascii="Arial" w:cs="Arial" w:eastAsia="Arial" w:hAnsi="Arial"/>
                <w:b/>
                <w:bCs/>
                <w:color w:val="FFFFFF"/>
                <w:sz w:val="20"/>
                <w:szCs w:val="20"/>
              </w:rPr>
              <w:t xml:space="preserve">Component</w:t>
            </w:r>
          </w:p>
        </w:tc>
        <w:tc>
          <w:tcPr>
            <w:tcW w:type="dxa" w:w="3000"/>
            <w:tcBorders>
              <w:top w:val="single" w:color="1F4E79" w:sz="1"/>
              <w:left w:val="single" w:color="1F4E79" w:sz="1"/>
              <w:bottom w:val="single" w:color="1F4E79" w:sz="1"/>
              <w:right w:val="single" w:color="1F4E79" w:sz="1"/>
            </w:tcBorders>
            <w:shd w:fill="1F4E79" w:val="clear"/>
            <w:tcMar>
              <w:top w:type="dxa" w:w="100"/>
              <w:left w:type="dxa" w:w="120"/>
              <w:bottom w:type="dxa" w:w="100"/>
              <w:right w:type="dxa" w:w="120"/>
            </w:tcMar>
            <w:vAlign w:val="center"/>
          </w:tcPr>
          <w:p>
            <w:pPr>
              <w:jc w:val="center"/>
            </w:pPr>
            <w:r>
              <w:rPr>
                <w:rFonts w:ascii="Arial" w:cs="Arial" w:eastAsia="Arial" w:hAnsi="Arial"/>
                <w:b/>
                <w:bCs/>
                <w:color w:val="FFFFFF"/>
                <w:sz w:val="20"/>
                <w:szCs w:val="20"/>
              </w:rPr>
              <w:t xml:space="preserve">Role</w:t>
            </w:r>
          </w:p>
        </w:tc>
        <w:tc>
          <w:tcPr>
            <w:tcW w:type="dxa" w:w="3360"/>
            <w:tcBorders>
              <w:top w:val="single" w:color="1F4E79" w:sz="1"/>
              <w:left w:val="single" w:color="1F4E79" w:sz="1"/>
              <w:bottom w:val="single" w:color="1F4E79" w:sz="1"/>
              <w:right w:val="single" w:color="1F4E79" w:sz="1"/>
            </w:tcBorders>
            <w:shd w:fill="1F4E79" w:val="clear"/>
            <w:tcMar>
              <w:top w:type="dxa" w:w="100"/>
              <w:left w:type="dxa" w:w="120"/>
              <w:bottom w:type="dxa" w:w="100"/>
              <w:right w:type="dxa" w:w="120"/>
            </w:tcMar>
            <w:vAlign w:val="center"/>
          </w:tcPr>
          <w:p>
            <w:pPr>
              <w:jc w:val="center"/>
            </w:pPr>
            <w:r>
              <w:rPr>
                <w:rFonts w:ascii="Arial" w:cs="Arial" w:eastAsia="Arial" w:hAnsi="Arial"/>
                <w:b/>
                <w:bCs/>
                <w:color w:val="FFFFFF"/>
                <w:sz w:val="20"/>
                <w:szCs w:val="20"/>
              </w:rPr>
              <w:t xml:space="preserve">Integration Type</w:t>
            </w:r>
          </w:p>
        </w:tc>
      </w:tr>
      <w:tr>
        <w:tc>
          <w:tcPr>
            <w:tcW w:type="dxa" w:w="30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ERP Systems (SAP, Oracle)</w:t>
            </w:r>
          </w:p>
        </w:tc>
        <w:tc>
          <w:tcPr>
            <w:tcW w:type="dxa" w:w="30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Source of financial transactions</w:t>
            </w:r>
          </w:p>
        </w:tc>
        <w:tc>
          <w:tcPr>
            <w:tcW w:type="dxa" w:w="33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REST API / Direct DB</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Banking Data Feeds</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Bank statement reconciliation</w:t>
            </w:r>
          </w:p>
        </w:tc>
        <w:tc>
          <w:tcPr>
            <w:tcW w:type="dxa" w:w="3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SFTP / Open Banking API</w:t>
            </w:r>
          </w:p>
        </w:tc>
      </w:tr>
      <w:tr>
        <w:tc>
          <w:tcPr>
            <w:tcW w:type="dxa" w:w="30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Document Management System</w:t>
            </w:r>
          </w:p>
        </w:tc>
        <w:tc>
          <w:tcPr>
            <w:tcW w:type="dxa" w:w="30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Invoice and receipt storage</w:t>
            </w:r>
          </w:p>
        </w:tc>
        <w:tc>
          <w:tcPr>
            <w:tcW w:type="dxa" w:w="33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REST API</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AIFAS Core Engine</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AI analysis &amp; audit engine</w:t>
            </w:r>
          </w:p>
        </w:tc>
        <w:tc>
          <w:tcPr>
            <w:tcW w:type="dxa" w:w="3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Central Platform</w:t>
            </w:r>
          </w:p>
        </w:tc>
      </w:tr>
      <w:tr>
        <w:tc>
          <w:tcPr>
            <w:tcW w:type="dxa" w:w="30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Audit Report Generator</w:t>
            </w:r>
          </w:p>
        </w:tc>
        <w:tc>
          <w:tcPr>
            <w:tcW w:type="dxa" w:w="30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PDF/Excel report output</w:t>
            </w:r>
          </w:p>
        </w:tc>
        <w:tc>
          <w:tcPr>
            <w:tcW w:type="dxa" w:w="33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Internal Module</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Compliance Database</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Regulatory rules repository</w:t>
            </w:r>
          </w:p>
        </w:tc>
        <w:tc>
          <w:tcPr>
            <w:tcW w:type="dxa" w:w="3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Internal Module</w:t>
            </w:r>
          </w:p>
        </w:tc>
      </w:tr>
      <w:tr>
        <w:tc>
          <w:tcPr>
            <w:tcW w:type="dxa" w:w="30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Notification Service</w:t>
            </w:r>
          </w:p>
        </w:tc>
        <w:tc>
          <w:tcPr>
            <w:tcW w:type="dxa" w:w="30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Alerts and notifications</w:t>
            </w:r>
          </w:p>
        </w:tc>
        <w:tc>
          <w:tcPr>
            <w:tcW w:type="dxa" w:w="33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Email / SMS / Push</w:t>
            </w:r>
          </w:p>
        </w:tc>
      </w:tr>
    </w:tbl>
    <w:p>
      <w:pPr>
        <w:spacing w:before="80" w:after="80"/>
      </w:pPr>
      <w:r>
        <w:t xml:space="preserve"/>
      </w:r>
    </w:p>
    <w:p>
      <w:pPr>
        <w:pStyle w:val="Heading2"/>
        <w:spacing w:before="240" w:after="80"/>
      </w:pPr>
      <w:r>
        <w:rPr>
          <w:rFonts w:ascii="Arial" w:cs="Arial" w:eastAsia="Arial" w:hAnsi="Arial"/>
          <w:b/>
          <w:bCs/>
          <w:color w:val="2E75B6"/>
          <w:sz w:val="26"/>
          <w:szCs w:val="26"/>
        </w:rPr>
        <w:t xml:space="preserve">2.2 Product Functions</w:t>
      </w:r>
    </w:p>
    <w:p>
      <w:pPr>
        <w:spacing w:before="60" w:after="100"/>
      </w:pPr>
      <w:r>
        <w:rPr>
          <w:rFonts w:ascii="Arial" w:cs="Arial" w:eastAsia="Arial" w:hAnsi="Arial"/>
          <w:sz w:val="22"/>
          <w:szCs w:val="22"/>
        </w:rPr>
        <w:t xml:space="preserve">At a high level, AIFAS provides the following major capabilities:</w:t>
      </w:r>
    </w:p>
    <w:p>
      <w:pPr>
        <w:pStyle w:val="ListParagraph"/>
        <w:numPr>
          <w:ilvl w:val="0"/>
          <w:numId w:val="2"/>
        </w:numPr>
        <w:spacing w:before="40" w:after="40"/>
      </w:pPr>
      <w:r>
        <w:rPr>
          <w:rFonts w:ascii="Arial" w:cs="Arial" w:eastAsia="Arial" w:hAnsi="Arial"/>
          <w:sz w:val="22"/>
          <w:szCs w:val="22"/>
        </w:rPr>
        <w:t xml:space="preserve">Automated Data Ingestion – Continuous import of financial data from multiple sources.</w:t>
      </w:r>
    </w:p>
    <w:p>
      <w:pPr>
        <w:pStyle w:val="ListParagraph"/>
        <w:numPr>
          <w:ilvl w:val="0"/>
          <w:numId w:val="2"/>
        </w:numPr>
        <w:spacing w:before="40" w:after="40"/>
      </w:pPr>
      <w:r>
        <w:rPr>
          <w:rFonts w:ascii="Arial" w:cs="Arial" w:eastAsia="Arial" w:hAnsi="Arial"/>
          <w:sz w:val="22"/>
          <w:szCs w:val="22"/>
        </w:rPr>
        <w:t xml:space="preserve">AI-Driven Anomaly Detection – Machine learning models identify unusual patterns and outliers.</w:t>
      </w:r>
    </w:p>
    <w:p>
      <w:pPr>
        <w:pStyle w:val="ListParagraph"/>
        <w:numPr>
          <w:ilvl w:val="0"/>
          <w:numId w:val="2"/>
        </w:numPr>
        <w:spacing w:before="40" w:after="40"/>
      </w:pPr>
      <w:r>
        <w:rPr>
          <w:rFonts w:ascii="Arial" w:cs="Arial" w:eastAsia="Arial" w:hAnsi="Arial"/>
          <w:sz w:val="22"/>
          <w:szCs w:val="22"/>
        </w:rPr>
        <w:t xml:space="preserve">Fraud Risk Scoring – Each transaction is assigned a risk score based on Benford's Law, statistical models, and behavioral analytics.</w:t>
      </w:r>
    </w:p>
    <w:p>
      <w:pPr>
        <w:pStyle w:val="ListParagraph"/>
        <w:numPr>
          <w:ilvl w:val="0"/>
          <w:numId w:val="2"/>
        </w:numPr>
        <w:spacing w:before="40" w:after="40"/>
      </w:pPr>
      <w:r>
        <w:rPr>
          <w:rFonts w:ascii="Arial" w:cs="Arial" w:eastAsia="Arial" w:hAnsi="Arial"/>
          <w:sz w:val="22"/>
          <w:szCs w:val="22"/>
        </w:rPr>
        <w:t xml:space="preserve">Natural Language Query Interface – Auditors can query the system using plain English.</w:t>
      </w:r>
    </w:p>
    <w:p>
      <w:pPr>
        <w:pStyle w:val="ListParagraph"/>
        <w:numPr>
          <w:ilvl w:val="0"/>
          <w:numId w:val="2"/>
        </w:numPr>
        <w:spacing w:before="40" w:after="40"/>
      </w:pPr>
      <w:r>
        <w:rPr>
          <w:rFonts w:ascii="Arial" w:cs="Arial" w:eastAsia="Arial" w:hAnsi="Arial"/>
          <w:sz w:val="22"/>
          <w:szCs w:val="22"/>
        </w:rPr>
        <w:t xml:space="preserve">Continuous Monitoring – 24/7 real-time monitoring with threshold-based alerting.</w:t>
      </w:r>
    </w:p>
    <w:p>
      <w:pPr>
        <w:pStyle w:val="ListParagraph"/>
        <w:numPr>
          <w:ilvl w:val="0"/>
          <w:numId w:val="2"/>
        </w:numPr>
        <w:spacing w:before="40" w:after="40"/>
      </w:pPr>
      <w:r>
        <w:rPr>
          <w:rFonts w:ascii="Arial" w:cs="Arial" w:eastAsia="Arial" w:hAnsi="Arial"/>
          <w:sz w:val="22"/>
          <w:szCs w:val="22"/>
        </w:rPr>
        <w:t xml:space="preserve">Regulatory Compliance Checking – Automated checks against GAAP, IFRS, and local regulations.</w:t>
      </w:r>
    </w:p>
    <w:p>
      <w:pPr>
        <w:pStyle w:val="ListParagraph"/>
        <w:numPr>
          <w:ilvl w:val="0"/>
          <w:numId w:val="2"/>
        </w:numPr>
        <w:spacing w:before="40" w:after="40"/>
      </w:pPr>
      <w:r>
        <w:rPr>
          <w:rFonts w:ascii="Arial" w:cs="Arial" w:eastAsia="Arial" w:hAnsi="Arial"/>
          <w:sz w:val="22"/>
          <w:szCs w:val="22"/>
        </w:rPr>
        <w:t xml:space="preserve">Audit Trail Management – Complete immutable audit trail for all system activities.</w:t>
      </w:r>
    </w:p>
    <w:p>
      <w:pPr>
        <w:pStyle w:val="ListParagraph"/>
        <w:numPr>
          <w:ilvl w:val="0"/>
          <w:numId w:val="2"/>
        </w:numPr>
        <w:spacing w:before="40" w:after="40"/>
      </w:pPr>
      <w:r>
        <w:rPr>
          <w:rFonts w:ascii="Arial" w:cs="Arial" w:eastAsia="Arial" w:hAnsi="Arial"/>
          <w:sz w:val="22"/>
          <w:szCs w:val="22"/>
        </w:rPr>
        <w:t xml:space="preserve">Predictive Analytics – Forecast future risk areas based on historical patterns.</w:t>
      </w:r>
    </w:p>
    <w:p>
      <w:pPr>
        <w:pStyle w:val="ListParagraph"/>
        <w:numPr>
          <w:ilvl w:val="0"/>
          <w:numId w:val="2"/>
        </w:numPr>
        <w:spacing w:before="40" w:after="40"/>
      </w:pPr>
      <w:r>
        <w:rPr>
          <w:rFonts w:ascii="Arial" w:cs="Arial" w:eastAsia="Arial" w:hAnsi="Arial"/>
          <w:sz w:val="22"/>
          <w:szCs w:val="22"/>
        </w:rPr>
        <w:t xml:space="preserve">Report Generation – Automated production of audit reports, management letters, and dashboards.</w:t>
      </w:r>
    </w:p>
    <w:p>
      <w:pPr>
        <w:spacing w:before="80" w:after="80"/>
      </w:pPr>
      <w:r>
        <w:t xml:space="preserve"/>
      </w:r>
    </w:p>
    <w:p>
      <w:pPr>
        <w:pStyle w:val="Heading2"/>
        <w:spacing w:before="240" w:after="80"/>
      </w:pPr>
      <w:r>
        <w:rPr>
          <w:rFonts w:ascii="Arial" w:cs="Arial" w:eastAsia="Arial" w:hAnsi="Arial"/>
          <w:b/>
          <w:bCs/>
          <w:color w:val="2E75B6"/>
          <w:sz w:val="26"/>
          <w:szCs w:val="26"/>
        </w:rPr>
        <w:t xml:space="preserve">2.3 User Classes and Characteristics</w:t>
      </w:r>
    </w:p>
    <w:p>
      <w:pPr>
        <w:spacing w:before="8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2800"/>
        <w:gridCol w:w="2000"/>
        <w:gridCol w:w="2560"/>
      </w:tblGrid>
      <w:tr>
        <w:trPr>
          <w:tblHeader/>
        </w:trPr>
        <w:tc>
          <w:tcPr>
            <w:tcW w:type="dxa" w:w="2000"/>
            <w:tcBorders>
              <w:top w:val="single" w:color="1F4E79" w:sz="1"/>
              <w:left w:val="single" w:color="1F4E79" w:sz="1"/>
              <w:bottom w:val="single" w:color="1F4E79" w:sz="1"/>
              <w:right w:val="single" w:color="1F4E79" w:sz="1"/>
            </w:tcBorders>
            <w:shd w:fill="1F4E79" w:val="clear"/>
            <w:tcMar>
              <w:top w:type="dxa" w:w="100"/>
              <w:left w:type="dxa" w:w="120"/>
              <w:bottom w:type="dxa" w:w="100"/>
              <w:right w:type="dxa" w:w="120"/>
            </w:tcMar>
            <w:vAlign w:val="center"/>
          </w:tcPr>
          <w:p>
            <w:pPr>
              <w:jc w:val="center"/>
            </w:pPr>
            <w:r>
              <w:rPr>
                <w:rFonts w:ascii="Arial" w:cs="Arial" w:eastAsia="Arial" w:hAnsi="Arial"/>
                <w:b/>
                <w:bCs/>
                <w:color w:val="FFFFFF"/>
                <w:sz w:val="20"/>
                <w:szCs w:val="20"/>
              </w:rPr>
              <w:t xml:space="preserve">User Class</w:t>
            </w:r>
          </w:p>
        </w:tc>
        <w:tc>
          <w:tcPr>
            <w:tcW w:type="dxa" w:w="2800"/>
            <w:tcBorders>
              <w:top w:val="single" w:color="1F4E79" w:sz="1"/>
              <w:left w:val="single" w:color="1F4E79" w:sz="1"/>
              <w:bottom w:val="single" w:color="1F4E79" w:sz="1"/>
              <w:right w:val="single" w:color="1F4E79" w:sz="1"/>
            </w:tcBorders>
            <w:shd w:fill="1F4E79" w:val="clear"/>
            <w:tcMar>
              <w:top w:type="dxa" w:w="100"/>
              <w:left w:type="dxa" w:w="120"/>
              <w:bottom w:type="dxa" w:w="100"/>
              <w:right w:type="dxa" w:w="120"/>
            </w:tcMar>
            <w:vAlign w:val="center"/>
          </w:tcPr>
          <w:p>
            <w:pPr>
              <w:jc w:val="center"/>
            </w:pPr>
            <w:r>
              <w:rPr>
                <w:rFonts w:ascii="Arial" w:cs="Arial" w:eastAsia="Arial" w:hAnsi="Arial"/>
                <w:b/>
                <w:bCs/>
                <w:color w:val="FFFFFF"/>
                <w:sz w:val="20"/>
                <w:szCs w:val="20"/>
              </w:rPr>
              <w:t xml:space="preserve">Description</w:t>
            </w:r>
          </w:p>
        </w:tc>
        <w:tc>
          <w:tcPr>
            <w:tcW w:type="dxa" w:w="2000"/>
            <w:tcBorders>
              <w:top w:val="single" w:color="1F4E79" w:sz="1"/>
              <w:left w:val="single" w:color="1F4E79" w:sz="1"/>
              <w:bottom w:val="single" w:color="1F4E79" w:sz="1"/>
              <w:right w:val="single" w:color="1F4E79" w:sz="1"/>
            </w:tcBorders>
            <w:shd w:fill="1F4E79" w:val="clear"/>
            <w:tcMar>
              <w:top w:type="dxa" w:w="100"/>
              <w:left w:type="dxa" w:w="120"/>
              <w:bottom w:type="dxa" w:w="100"/>
              <w:right w:type="dxa" w:w="120"/>
            </w:tcMar>
            <w:vAlign w:val="center"/>
          </w:tcPr>
          <w:p>
            <w:pPr>
              <w:jc w:val="center"/>
            </w:pPr>
            <w:r>
              <w:rPr>
                <w:rFonts w:ascii="Arial" w:cs="Arial" w:eastAsia="Arial" w:hAnsi="Arial"/>
                <w:b/>
                <w:bCs/>
                <w:color w:val="FFFFFF"/>
                <w:sz w:val="20"/>
                <w:szCs w:val="20"/>
              </w:rPr>
              <w:t xml:space="preserve">Technical Level</w:t>
            </w:r>
          </w:p>
        </w:tc>
        <w:tc>
          <w:tcPr>
            <w:tcW w:type="dxa" w:w="2560"/>
            <w:tcBorders>
              <w:top w:val="single" w:color="1F4E79" w:sz="1"/>
              <w:left w:val="single" w:color="1F4E79" w:sz="1"/>
              <w:bottom w:val="single" w:color="1F4E79" w:sz="1"/>
              <w:right w:val="single" w:color="1F4E79" w:sz="1"/>
            </w:tcBorders>
            <w:shd w:fill="1F4E79" w:val="clear"/>
            <w:tcMar>
              <w:top w:type="dxa" w:w="100"/>
              <w:left w:type="dxa" w:w="120"/>
              <w:bottom w:type="dxa" w:w="100"/>
              <w:right w:type="dxa" w:w="120"/>
            </w:tcMar>
            <w:vAlign w:val="center"/>
          </w:tcPr>
          <w:p>
            <w:pPr>
              <w:jc w:val="center"/>
            </w:pPr>
            <w:r>
              <w:rPr>
                <w:rFonts w:ascii="Arial" w:cs="Arial" w:eastAsia="Arial" w:hAnsi="Arial"/>
                <w:b/>
                <w:bCs/>
                <w:color w:val="FFFFFF"/>
                <w:sz w:val="20"/>
                <w:szCs w:val="20"/>
              </w:rPr>
              <w:t xml:space="preserve">Access Level</w:t>
            </w:r>
          </w:p>
        </w:tc>
      </w:tr>
      <w:tr>
        <w:tc>
          <w:tcPr>
            <w:tcW w:type="dxa" w:w="20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Chief Audit Officer</w:t>
            </w:r>
          </w:p>
        </w:tc>
        <w:tc>
          <w:tcPr>
            <w:tcW w:type="dxa" w:w="28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Oversees entire audit function, reviews strategic reports</w:t>
            </w:r>
          </w:p>
        </w:tc>
        <w:tc>
          <w:tcPr>
            <w:tcW w:type="dxa" w:w="20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Low</w:t>
            </w:r>
          </w:p>
        </w:tc>
        <w:tc>
          <w:tcPr>
            <w:tcW w:type="dxa" w:w="25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Read-only dashboards</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Senior Auditor</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Conducts detailed audit fieldwork and reviews AI findings</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Medium</w:t>
            </w:r>
          </w:p>
        </w:tc>
        <w:tc>
          <w:tcPr>
            <w:tcW w:type="dxa" w:w="2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Full audit access</w:t>
            </w:r>
          </w:p>
        </w:tc>
      </w:tr>
      <w:tr>
        <w:tc>
          <w:tcPr>
            <w:tcW w:type="dxa" w:w="20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Junior Auditor</w:t>
            </w:r>
          </w:p>
        </w:tc>
        <w:tc>
          <w:tcPr>
            <w:tcW w:type="dxa" w:w="28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Executes audit procedures under supervision</w:t>
            </w:r>
          </w:p>
        </w:tc>
        <w:tc>
          <w:tcPr>
            <w:tcW w:type="dxa" w:w="20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Medium</w:t>
            </w:r>
          </w:p>
        </w:tc>
        <w:tc>
          <w:tcPr>
            <w:tcW w:type="dxa" w:w="25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Limited write access</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IT Administrator</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Manages system configuration and integrations</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High</w:t>
            </w:r>
          </w:p>
        </w:tc>
        <w:tc>
          <w:tcPr>
            <w:tcW w:type="dxa" w:w="2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System administration</w:t>
            </w:r>
          </w:p>
        </w:tc>
      </w:tr>
      <w:tr>
        <w:tc>
          <w:tcPr>
            <w:tcW w:type="dxa" w:w="20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Compliance Officer</w:t>
            </w:r>
          </w:p>
        </w:tc>
        <w:tc>
          <w:tcPr>
            <w:tcW w:type="dxa" w:w="28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Monitors regulatory compliance outputs</w:t>
            </w:r>
          </w:p>
        </w:tc>
        <w:tc>
          <w:tcPr>
            <w:tcW w:type="dxa" w:w="20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Medium</w:t>
            </w:r>
          </w:p>
        </w:tc>
        <w:tc>
          <w:tcPr>
            <w:tcW w:type="dxa" w:w="25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Compliance module</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External Auditor</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Third-party auditors reviewing company financials</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Medium</w:t>
            </w:r>
          </w:p>
        </w:tc>
        <w:tc>
          <w:tcPr>
            <w:tcW w:type="dxa" w:w="2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Read-only, scoped</w:t>
            </w:r>
          </w:p>
        </w:tc>
      </w:tr>
      <w:tr>
        <w:tc>
          <w:tcPr>
            <w:tcW w:type="dxa" w:w="20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Finance Manager</w:t>
            </w:r>
          </w:p>
        </w:tc>
        <w:tc>
          <w:tcPr>
            <w:tcW w:type="dxa" w:w="28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Reviews audit findings related to their department</w:t>
            </w:r>
          </w:p>
        </w:tc>
        <w:tc>
          <w:tcPr>
            <w:tcW w:type="dxa" w:w="20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Low</w:t>
            </w:r>
          </w:p>
        </w:tc>
        <w:tc>
          <w:tcPr>
            <w:tcW w:type="dxa" w:w="25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Department-scoped</w:t>
            </w:r>
          </w:p>
        </w:tc>
      </w:tr>
    </w:tbl>
    <w:p>
      <w:pPr>
        <w:spacing w:before="80" w:after="80"/>
      </w:pPr>
      <w:r>
        <w:t xml:space="preserve"/>
      </w:r>
    </w:p>
    <w:p>
      <w:pPr>
        <w:pStyle w:val="Heading2"/>
        <w:spacing w:before="240" w:after="80"/>
      </w:pPr>
      <w:r>
        <w:rPr>
          <w:rFonts w:ascii="Arial" w:cs="Arial" w:eastAsia="Arial" w:hAnsi="Arial"/>
          <w:b/>
          <w:bCs/>
          <w:color w:val="2E75B6"/>
          <w:sz w:val="26"/>
          <w:szCs w:val="26"/>
        </w:rPr>
        <w:t xml:space="preserve">2.4 Operating Environment</w:t>
      </w:r>
    </w:p>
    <w:p>
      <w:pPr>
        <w:pStyle w:val="ListParagraph"/>
        <w:numPr>
          <w:ilvl w:val="0"/>
          <w:numId w:val="2"/>
        </w:numPr>
        <w:spacing w:before="40" w:after="40"/>
      </w:pPr>
      <w:r>
        <w:rPr>
          <w:rFonts w:ascii="Arial" w:cs="Arial" w:eastAsia="Arial" w:hAnsi="Arial"/>
          <w:sz w:val="22"/>
          <w:szCs w:val="22"/>
        </w:rPr>
        <w:t xml:space="preserve">Cloud Deployment: AWS / Azure / GCP with multi-region support</w:t>
      </w:r>
    </w:p>
    <w:p>
      <w:pPr>
        <w:pStyle w:val="ListParagraph"/>
        <w:numPr>
          <w:ilvl w:val="0"/>
          <w:numId w:val="2"/>
        </w:numPr>
        <w:spacing w:before="40" w:after="40"/>
      </w:pPr>
      <w:r>
        <w:rPr>
          <w:rFonts w:ascii="Arial" w:cs="Arial" w:eastAsia="Arial" w:hAnsi="Arial"/>
          <w:sz w:val="22"/>
          <w:szCs w:val="22"/>
        </w:rPr>
        <w:t xml:space="preserve">On-Premise Option: Docker containers on enterprise servers</w:t>
      </w:r>
    </w:p>
    <w:p>
      <w:pPr>
        <w:pStyle w:val="ListParagraph"/>
        <w:numPr>
          <w:ilvl w:val="0"/>
          <w:numId w:val="2"/>
        </w:numPr>
        <w:spacing w:before="40" w:after="40"/>
      </w:pPr>
      <w:r>
        <w:rPr>
          <w:rFonts w:ascii="Arial" w:cs="Arial" w:eastAsia="Arial" w:hAnsi="Arial"/>
          <w:sz w:val="22"/>
          <w:szCs w:val="22"/>
        </w:rPr>
        <w:t xml:space="preserve">Browser Support: Chrome 90+, Firefox 88+, Edge 90+, Safari 14+</w:t>
      </w:r>
    </w:p>
    <w:p>
      <w:pPr>
        <w:pStyle w:val="ListParagraph"/>
        <w:numPr>
          <w:ilvl w:val="0"/>
          <w:numId w:val="2"/>
        </w:numPr>
        <w:spacing w:before="40" w:after="40"/>
      </w:pPr>
      <w:r>
        <w:rPr>
          <w:rFonts w:ascii="Arial" w:cs="Arial" w:eastAsia="Arial" w:hAnsi="Arial"/>
          <w:sz w:val="22"/>
          <w:szCs w:val="22"/>
        </w:rPr>
        <w:t xml:space="preserve">Mobile: Responsive web design for iOS 14+ and Android 10+</w:t>
      </w:r>
    </w:p>
    <w:p>
      <w:pPr>
        <w:pStyle w:val="ListParagraph"/>
        <w:numPr>
          <w:ilvl w:val="0"/>
          <w:numId w:val="2"/>
        </w:numPr>
        <w:spacing w:before="40" w:after="40"/>
      </w:pPr>
      <w:r>
        <w:rPr>
          <w:rFonts w:ascii="Arial" w:cs="Arial" w:eastAsia="Arial" w:hAnsi="Arial"/>
          <w:sz w:val="22"/>
          <w:szCs w:val="22"/>
        </w:rPr>
        <w:t xml:space="preserve">Database: PostgreSQL 15+ (transactional), MongoDB (document store), ClickHouse (analytics)</w:t>
      </w:r>
    </w:p>
    <w:p>
      <w:pPr>
        <w:pStyle w:val="ListParagraph"/>
        <w:numPr>
          <w:ilvl w:val="0"/>
          <w:numId w:val="2"/>
        </w:numPr>
        <w:spacing w:before="40" w:after="40"/>
      </w:pPr>
      <w:r>
        <w:rPr>
          <w:rFonts w:ascii="Arial" w:cs="Arial" w:eastAsia="Arial" w:hAnsi="Arial"/>
          <w:sz w:val="22"/>
          <w:szCs w:val="22"/>
        </w:rPr>
        <w:t xml:space="preserve">OS: Linux (Ubuntu 22.04 LTS) for server components</w:t>
      </w:r>
    </w:p>
    <w:p>
      <w:pPr>
        <w:spacing w:before="80" w:after="80"/>
      </w:pPr>
      <w:r>
        <w:t xml:space="preserve"/>
      </w:r>
    </w:p>
    <w:p>
      <w:pPr>
        <w:pStyle w:val="Heading2"/>
        <w:spacing w:before="240" w:after="80"/>
      </w:pPr>
      <w:r>
        <w:rPr>
          <w:rFonts w:ascii="Arial" w:cs="Arial" w:eastAsia="Arial" w:hAnsi="Arial"/>
          <w:b/>
          <w:bCs/>
          <w:color w:val="2E75B6"/>
          <w:sz w:val="26"/>
          <w:szCs w:val="26"/>
        </w:rPr>
        <w:t xml:space="preserve">2.5 Design and Implementation Constraints</w:t>
      </w:r>
    </w:p>
    <w:p>
      <w:pPr>
        <w:pStyle w:val="ListParagraph"/>
        <w:numPr>
          <w:ilvl w:val="0"/>
          <w:numId w:val="2"/>
        </w:numPr>
        <w:spacing w:before="40" w:after="40"/>
      </w:pPr>
      <w:r>
        <w:rPr>
          <w:rFonts w:ascii="Arial" w:cs="Arial" w:eastAsia="Arial" w:hAnsi="Arial"/>
          <w:sz w:val="22"/>
          <w:szCs w:val="22"/>
        </w:rPr>
        <w:t xml:space="preserve">All financial data must remain within the organization's designated geographic region (data residency).</w:t>
      </w:r>
    </w:p>
    <w:p>
      <w:pPr>
        <w:pStyle w:val="ListParagraph"/>
        <w:numPr>
          <w:ilvl w:val="0"/>
          <w:numId w:val="2"/>
        </w:numPr>
        <w:spacing w:before="40" w:after="40"/>
      </w:pPr>
      <w:r>
        <w:rPr>
          <w:rFonts w:ascii="Arial" w:cs="Arial" w:eastAsia="Arial" w:hAnsi="Arial"/>
          <w:sz w:val="22"/>
          <w:szCs w:val="22"/>
        </w:rPr>
        <w:t xml:space="preserve">The AI models must be explainable and provide reasoning for every flagged item (Explainable AI / XAI).</w:t>
      </w:r>
    </w:p>
    <w:p>
      <w:pPr>
        <w:pStyle w:val="ListParagraph"/>
        <w:numPr>
          <w:ilvl w:val="0"/>
          <w:numId w:val="2"/>
        </w:numPr>
        <w:spacing w:before="40" w:after="40"/>
      </w:pPr>
      <w:r>
        <w:rPr>
          <w:rFonts w:ascii="Arial" w:cs="Arial" w:eastAsia="Arial" w:hAnsi="Arial"/>
          <w:sz w:val="22"/>
          <w:szCs w:val="22"/>
        </w:rPr>
        <w:t xml:space="preserve">System must comply with GDPR, SOX, and local financial regulations.</w:t>
      </w:r>
    </w:p>
    <w:p>
      <w:pPr>
        <w:pStyle w:val="ListParagraph"/>
        <w:numPr>
          <w:ilvl w:val="0"/>
          <w:numId w:val="2"/>
        </w:numPr>
        <w:spacing w:before="40" w:after="40"/>
      </w:pPr>
      <w:r>
        <w:rPr>
          <w:rFonts w:ascii="Arial" w:cs="Arial" w:eastAsia="Arial" w:hAnsi="Arial"/>
          <w:sz w:val="22"/>
          <w:szCs w:val="22"/>
        </w:rPr>
        <w:t xml:space="preserve">Integration with legacy systems must not require modifications to source systems.</w:t>
      </w:r>
    </w:p>
    <w:p>
      <w:pPr>
        <w:pStyle w:val="ListParagraph"/>
        <w:numPr>
          <w:ilvl w:val="0"/>
          <w:numId w:val="2"/>
        </w:numPr>
        <w:spacing w:before="40" w:after="40"/>
      </w:pPr>
      <w:r>
        <w:rPr>
          <w:rFonts w:ascii="Arial" w:cs="Arial" w:eastAsia="Arial" w:hAnsi="Arial"/>
          <w:sz w:val="22"/>
          <w:szCs w:val="22"/>
        </w:rPr>
        <w:t xml:space="preserve">Maximum data ingestion latency of 5 minutes for near-real-time monitoring.</w:t>
      </w:r>
    </w:p>
    <w:p>
      <w:pPr>
        <w:spacing w:before="80" w:after="80"/>
      </w:pPr>
      <w:r>
        <w:t xml:space="preserve"/>
      </w:r>
    </w:p>
    <w:p>
      <w:pPr>
        <w:pStyle w:val="Heading2"/>
        <w:spacing w:before="240" w:after="80"/>
      </w:pPr>
      <w:r>
        <w:rPr>
          <w:rFonts w:ascii="Arial" w:cs="Arial" w:eastAsia="Arial" w:hAnsi="Arial"/>
          <w:b/>
          <w:bCs/>
          <w:color w:val="2E75B6"/>
          <w:sz w:val="26"/>
          <w:szCs w:val="26"/>
        </w:rPr>
        <w:t xml:space="preserve">2.6 Assumptions and Dependencies</w:t>
      </w:r>
    </w:p>
    <w:p>
      <w:pPr>
        <w:pStyle w:val="ListParagraph"/>
        <w:numPr>
          <w:ilvl w:val="0"/>
          <w:numId w:val="2"/>
        </w:numPr>
        <w:spacing w:before="40" w:after="40"/>
      </w:pPr>
      <w:r>
        <w:rPr>
          <w:rFonts w:ascii="Arial" w:cs="Arial" w:eastAsia="Arial" w:hAnsi="Arial"/>
          <w:sz w:val="22"/>
          <w:szCs w:val="22"/>
        </w:rPr>
        <w:t xml:space="preserve">Financial data sources are accessible via APIs or structured file exports.</w:t>
      </w:r>
    </w:p>
    <w:p>
      <w:pPr>
        <w:pStyle w:val="ListParagraph"/>
        <w:numPr>
          <w:ilvl w:val="0"/>
          <w:numId w:val="2"/>
        </w:numPr>
        <w:spacing w:before="40" w:after="40"/>
      </w:pPr>
      <w:r>
        <w:rPr>
          <w:rFonts w:ascii="Arial" w:cs="Arial" w:eastAsia="Arial" w:hAnsi="Arial"/>
          <w:sz w:val="22"/>
          <w:szCs w:val="22"/>
        </w:rPr>
        <w:t xml:space="preserve">Users have access to modern web browsers with JavaScript enabled.</w:t>
      </w:r>
    </w:p>
    <w:p>
      <w:pPr>
        <w:pStyle w:val="ListParagraph"/>
        <w:numPr>
          <w:ilvl w:val="0"/>
          <w:numId w:val="2"/>
        </w:numPr>
        <w:spacing w:before="40" w:after="40"/>
      </w:pPr>
      <w:r>
        <w:rPr>
          <w:rFonts w:ascii="Arial" w:cs="Arial" w:eastAsia="Arial" w:hAnsi="Arial"/>
          <w:sz w:val="22"/>
          <w:szCs w:val="22"/>
        </w:rPr>
        <w:t xml:space="preserve">Organization has an active ERP or accounting system with at least 2 years of historical data.</w:t>
      </w:r>
    </w:p>
    <w:p>
      <w:pPr>
        <w:pStyle w:val="ListParagraph"/>
        <w:numPr>
          <w:ilvl w:val="0"/>
          <w:numId w:val="2"/>
        </w:numPr>
        <w:spacing w:before="40" w:after="40"/>
      </w:pPr>
      <w:r>
        <w:rPr>
          <w:rFonts w:ascii="Arial" w:cs="Arial" w:eastAsia="Arial" w:hAnsi="Arial"/>
          <w:sz w:val="22"/>
          <w:szCs w:val="22"/>
        </w:rPr>
        <w:t xml:space="preserve">AI model training requires minimum 100,000 transaction records for baseline performance.</w:t>
      </w:r>
    </w:p>
    <w:p>
      <w:pPr>
        <w:pStyle w:val="ListParagraph"/>
        <w:numPr>
          <w:ilvl w:val="0"/>
          <w:numId w:val="2"/>
        </w:numPr>
        <w:spacing w:before="40" w:after="40"/>
      </w:pPr>
      <w:r>
        <w:rPr>
          <w:rFonts w:ascii="Arial" w:cs="Arial" w:eastAsia="Arial" w:hAnsi="Arial"/>
          <w:sz w:val="22"/>
          <w:szCs w:val="22"/>
        </w:rPr>
        <w:t xml:space="preserve">Network connectivity between AIFAS and source systems is guaranteed at 99.5% uptime.</w:t>
      </w:r>
    </w:p>
    <w:p>
      <w:pPr>
        <w:spacing w:before="80" w:after="80"/>
      </w:pPr>
      <w:r>
        <w:t xml:space="preserve"/>
      </w:r>
    </w:p>
    <w:p>
      <w:pPr>
        <w:pStyle w:val="Heading1"/>
        <w:spacing w:before="360" w:after="120"/>
      </w:pPr>
      <w:r>
        <w:rPr>
          <w:rFonts w:ascii="Arial" w:cs="Arial" w:eastAsia="Arial" w:hAnsi="Arial"/>
          <w:b/>
          <w:bCs/>
          <w:color w:val="1F4E79"/>
          <w:sz w:val="32"/>
          <w:szCs w:val="32"/>
        </w:rPr>
        <w:t xml:space="preserve">3. Functional Requirements</w:t>
      </w:r>
    </w:p>
    <w:p>
      <w:pPr>
        <w:pStyle w:val="Heading2"/>
        <w:spacing w:before="240" w:after="80"/>
      </w:pPr>
      <w:r>
        <w:rPr>
          <w:rFonts w:ascii="Arial" w:cs="Arial" w:eastAsia="Arial" w:hAnsi="Arial"/>
          <w:b/>
          <w:bCs/>
          <w:color w:val="2E75B6"/>
          <w:sz w:val="26"/>
          <w:szCs w:val="26"/>
        </w:rPr>
        <w:t xml:space="preserve">3.1 Data Ingestion and Management Module</w:t>
      </w:r>
    </w:p>
    <w:p>
      <w:pPr>
        <w:pStyle w:val="Heading3"/>
        <w:spacing w:before="180" w:after="60"/>
      </w:pPr>
      <w:r>
        <w:rPr>
          <w:rFonts w:ascii="Arial" w:cs="Arial" w:eastAsia="Arial" w:hAnsi="Arial"/>
          <w:b/>
          <w:bCs/>
          <w:color w:val="404040"/>
          <w:sz w:val="24"/>
          <w:szCs w:val="24"/>
        </w:rPr>
        <w:t xml:space="preserve">3.1.1 Automated Data Import</w:t>
      </w:r>
    </w:p>
    <w:p>
      <w:pPr>
        <w:spacing w:before="60" w:after="100"/>
      </w:pPr>
      <w:r>
        <w:rPr>
          <w:rFonts w:ascii="Arial" w:cs="Arial" w:eastAsia="Arial" w:hAnsi="Arial"/>
          <w:sz w:val="22"/>
          <w:szCs w:val="22"/>
        </w:rPr>
        <w:t xml:space="preserve">FR-DIM-001: The system shall support automated data import from the following sources:</w:t>
      </w:r>
    </w:p>
    <w:p>
      <w:pPr>
        <w:pStyle w:val="ListParagraph"/>
        <w:numPr>
          <w:ilvl w:val="0"/>
          <w:numId w:val="2"/>
        </w:numPr>
        <w:spacing w:before="40" w:after="40"/>
      </w:pPr>
      <w:r>
        <w:rPr>
          <w:rFonts w:ascii="Arial" w:cs="Arial" w:eastAsia="Arial" w:hAnsi="Arial"/>
          <w:sz w:val="22"/>
          <w:szCs w:val="22"/>
        </w:rPr>
        <w:t xml:space="preserve">ERP systems via REST API, SOAP, or direct database connection</w:t>
      </w:r>
    </w:p>
    <w:p>
      <w:pPr>
        <w:pStyle w:val="ListParagraph"/>
        <w:numPr>
          <w:ilvl w:val="0"/>
          <w:numId w:val="2"/>
        </w:numPr>
        <w:spacing w:before="40" w:after="40"/>
      </w:pPr>
      <w:r>
        <w:rPr>
          <w:rFonts w:ascii="Arial" w:cs="Arial" w:eastAsia="Arial" w:hAnsi="Arial"/>
          <w:sz w:val="22"/>
          <w:szCs w:val="22"/>
        </w:rPr>
        <w:t xml:space="preserve">CSV, Excel, and JSON file uploads via secure web interface</w:t>
      </w:r>
    </w:p>
    <w:p>
      <w:pPr>
        <w:pStyle w:val="ListParagraph"/>
        <w:numPr>
          <w:ilvl w:val="0"/>
          <w:numId w:val="2"/>
        </w:numPr>
        <w:spacing w:before="40" w:after="40"/>
      </w:pPr>
      <w:r>
        <w:rPr>
          <w:rFonts w:ascii="Arial" w:cs="Arial" w:eastAsia="Arial" w:hAnsi="Arial"/>
          <w:sz w:val="22"/>
          <w:szCs w:val="22"/>
        </w:rPr>
        <w:t xml:space="preserve">Real-time streaming via Apache Kafka integration</w:t>
      </w:r>
    </w:p>
    <w:p>
      <w:pPr>
        <w:pStyle w:val="ListParagraph"/>
        <w:numPr>
          <w:ilvl w:val="0"/>
          <w:numId w:val="2"/>
        </w:numPr>
        <w:spacing w:before="40" w:after="40"/>
      </w:pPr>
      <w:r>
        <w:rPr>
          <w:rFonts w:ascii="Arial" w:cs="Arial" w:eastAsia="Arial" w:hAnsi="Arial"/>
          <w:sz w:val="22"/>
          <w:szCs w:val="22"/>
        </w:rPr>
        <w:t xml:space="preserve">Open Banking APIs for bank statement data</w:t>
      </w:r>
    </w:p>
    <w:p>
      <w:pPr>
        <w:spacing w:before="60" w:after="100"/>
      </w:pPr>
      <w:r>
        <w:rPr>
          <w:rFonts w:ascii="Arial" w:cs="Arial" w:eastAsia="Arial" w:hAnsi="Arial"/>
          <w:sz w:val="22"/>
          <w:szCs w:val="22"/>
        </w:rPr>
        <w:t xml:space="preserve">FR-DIM-002: The system shall validate all imported data against predefined schemas and reject malformed records with detailed error logs.</w:t>
      </w:r>
    </w:p>
    <w:p>
      <w:pPr>
        <w:spacing w:before="60" w:after="100"/>
      </w:pPr>
      <w:r>
        <w:rPr>
          <w:rFonts w:ascii="Arial" w:cs="Arial" w:eastAsia="Arial" w:hAnsi="Arial"/>
          <w:sz w:val="22"/>
          <w:szCs w:val="22"/>
        </w:rPr>
        <w:t xml:space="preserve">FR-DIM-003: The system shall maintain a complete history of all imported datasets with timestamps, source identification, and record counts.</w:t>
      </w:r>
    </w:p>
    <w:p>
      <w:pPr>
        <w:spacing w:before="60" w:after="100"/>
      </w:pPr>
      <w:r>
        <w:rPr>
          <w:rFonts w:ascii="Arial" w:cs="Arial" w:eastAsia="Arial" w:hAnsi="Arial"/>
          <w:sz w:val="22"/>
          <w:szCs w:val="22"/>
        </w:rPr>
        <w:t xml:space="preserve">FR-DIM-004: The system shall support incremental data loading to process only new or modified records since the last import.</w:t>
      </w:r>
    </w:p>
    <w:p>
      <w:pPr>
        <w:spacing w:before="80" w:after="80"/>
      </w:pPr>
      <w:r>
        <w:t xml:space="preserve"/>
      </w:r>
    </w:p>
    <w:p>
      <w:pPr>
        <w:pStyle w:val="Heading3"/>
        <w:spacing w:before="180" w:after="60"/>
      </w:pPr>
      <w:r>
        <w:rPr>
          <w:rFonts w:ascii="Arial" w:cs="Arial" w:eastAsia="Arial" w:hAnsi="Arial"/>
          <w:b/>
          <w:bCs/>
          <w:color w:val="404040"/>
          <w:sz w:val="24"/>
          <w:szCs w:val="24"/>
        </w:rPr>
        <w:t xml:space="preserve">3.1.2 Data Normalization</w:t>
      </w:r>
    </w:p>
    <w:p>
      <w:pPr>
        <w:spacing w:before="60" w:after="100"/>
      </w:pPr>
      <w:r>
        <w:rPr>
          <w:rFonts w:ascii="Arial" w:cs="Arial" w:eastAsia="Arial" w:hAnsi="Arial"/>
          <w:sz w:val="22"/>
          <w:szCs w:val="22"/>
        </w:rPr>
        <w:t xml:space="preserve">FR-DIM-005: The system shall normalize financial data from different sources into a unified canonical data model.</w:t>
      </w:r>
    </w:p>
    <w:p>
      <w:pPr>
        <w:spacing w:before="60" w:after="100"/>
      </w:pPr>
      <w:r>
        <w:rPr>
          <w:rFonts w:ascii="Arial" w:cs="Arial" w:eastAsia="Arial" w:hAnsi="Arial"/>
          <w:sz w:val="22"/>
          <w:szCs w:val="22"/>
        </w:rPr>
        <w:t xml:space="preserve">FR-DIM-006: The system shall handle multiple currencies and perform automatic currency conversion using configurable exchange rate sources.</w:t>
      </w:r>
    </w:p>
    <w:p>
      <w:pPr>
        <w:spacing w:before="60" w:after="100"/>
      </w:pPr>
      <w:r>
        <w:rPr>
          <w:rFonts w:ascii="Arial" w:cs="Arial" w:eastAsia="Arial" w:hAnsi="Arial"/>
          <w:sz w:val="22"/>
          <w:szCs w:val="22"/>
        </w:rPr>
        <w:t xml:space="preserve">FR-DIM-007: The system shall map chart of accounts from source systems to a standardized classification scheme.</w:t>
      </w:r>
    </w:p>
    <w:p>
      <w:pPr>
        <w:spacing w:before="80" w:after="80"/>
      </w:pPr>
      <w:r>
        <w:t xml:space="preserve"/>
      </w:r>
    </w:p>
    <w:p>
      <w:pPr>
        <w:pStyle w:val="Heading2"/>
        <w:spacing w:before="240" w:after="80"/>
      </w:pPr>
      <w:r>
        <w:rPr>
          <w:rFonts w:ascii="Arial" w:cs="Arial" w:eastAsia="Arial" w:hAnsi="Arial"/>
          <w:b/>
          <w:bCs/>
          <w:color w:val="2E75B6"/>
          <w:sz w:val="26"/>
          <w:szCs w:val="26"/>
        </w:rPr>
        <w:t xml:space="preserve">3.2 AI Anomaly Detection Module</w:t>
      </w:r>
    </w:p>
    <w:p>
      <w:pPr>
        <w:pStyle w:val="Heading3"/>
        <w:spacing w:before="180" w:after="60"/>
      </w:pPr>
      <w:r>
        <w:rPr>
          <w:rFonts w:ascii="Arial" w:cs="Arial" w:eastAsia="Arial" w:hAnsi="Arial"/>
          <w:b/>
          <w:bCs/>
          <w:color w:val="404040"/>
          <w:sz w:val="24"/>
          <w:szCs w:val="24"/>
        </w:rPr>
        <w:t xml:space="preserve">3.2.1 Transaction Anomaly Detection</w:t>
      </w:r>
    </w:p>
    <w:p>
      <w:pPr>
        <w:spacing w:before="60" w:after="100"/>
      </w:pPr>
      <w:r>
        <w:rPr>
          <w:rFonts w:ascii="Arial" w:cs="Arial" w:eastAsia="Arial" w:hAnsi="Arial"/>
          <w:sz w:val="22"/>
          <w:szCs w:val="22"/>
        </w:rPr>
        <w:t xml:space="preserve">FR-AAD-001: The system shall apply machine learning models to detect anomalous transactions based on the following criteria:</w:t>
      </w:r>
    </w:p>
    <w:p>
      <w:pPr>
        <w:pStyle w:val="ListParagraph"/>
        <w:numPr>
          <w:ilvl w:val="0"/>
          <w:numId w:val="2"/>
        </w:numPr>
        <w:spacing w:before="40" w:after="40"/>
      </w:pPr>
      <w:r>
        <w:rPr>
          <w:rFonts w:ascii="Arial" w:cs="Arial" w:eastAsia="Arial" w:hAnsi="Arial"/>
          <w:sz w:val="22"/>
          <w:szCs w:val="22"/>
        </w:rPr>
        <w:t xml:space="preserve">Statistical outliers (amounts significantly deviating from historical patterns)</w:t>
      </w:r>
    </w:p>
    <w:p>
      <w:pPr>
        <w:pStyle w:val="ListParagraph"/>
        <w:numPr>
          <w:ilvl w:val="0"/>
          <w:numId w:val="2"/>
        </w:numPr>
        <w:spacing w:before="40" w:after="40"/>
      </w:pPr>
      <w:r>
        <w:rPr>
          <w:rFonts w:ascii="Arial" w:cs="Arial" w:eastAsia="Arial" w:hAnsi="Arial"/>
          <w:sz w:val="22"/>
          <w:szCs w:val="22"/>
        </w:rPr>
        <w:t xml:space="preserve">Temporal anomalies (transactions at unusual times, dates, or frequencies)</w:t>
      </w:r>
    </w:p>
    <w:p>
      <w:pPr>
        <w:pStyle w:val="ListParagraph"/>
        <w:numPr>
          <w:ilvl w:val="0"/>
          <w:numId w:val="2"/>
        </w:numPr>
        <w:spacing w:before="40" w:after="40"/>
      </w:pPr>
      <w:r>
        <w:rPr>
          <w:rFonts w:ascii="Arial" w:cs="Arial" w:eastAsia="Arial" w:hAnsi="Arial"/>
          <w:sz w:val="22"/>
          <w:szCs w:val="22"/>
        </w:rPr>
        <w:t xml:space="preserve">Duplicate transactions (exact or near-duplicate entries)</w:t>
      </w:r>
    </w:p>
    <w:p>
      <w:pPr>
        <w:pStyle w:val="ListParagraph"/>
        <w:numPr>
          <w:ilvl w:val="0"/>
          <w:numId w:val="2"/>
        </w:numPr>
        <w:spacing w:before="40" w:after="40"/>
      </w:pPr>
      <w:r>
        <w:rPr>
          <w:rFonts w:ascii="Arial" w:cs="Arial" w:eastAsia="Arial" w:hAnsi="Arial"/>
          <w:sz w:val="22"/>
          <w:szCs w:val="22"/>
        </w:rPr>
        <w:t xml:space="preserve">Round number bias (unusually high frequency of round-number amounts)</w:t>
      </w:r>
    </w:p>
    <w:p>
      <w:pPr>
        <w:pStyle w:val="ListParagraph"/>
        <w:numPr>
          <w:ilvl w:val="0"/>
          <w:numId w:val="2"/>
        </w:numPr>
        <w:spacing w:before="40" w:after="40"/>
      </w:pPr>
      <w:r>
        <w:rPr>
          <w:rFonts w:ascii="Arial" w:cs="Arial" w:eastAsia="Arial" w:hAnsi="Arial"/>
          <w:sz w:val="22"/>
          <w:szCs w:val="22"/>
        </w:rPr>
        <w:t xml:space="preserve">Benford's Law violations (leading digit distribution deviations)</w:t>
      </w:r>
    </w:p>
    <w:p>
      <w:pPr>
        <w:pStyle w:val="ListParagraph"/>
        <w:numPr>
          <w:ilvl w:val="0"/>
          <w:numId w:val="2"/>
        </w:numPr>
        <w:spacing w:before="40" w:after="40"/>
      </w:pPr>
      <w:r>
        <w:rPr>
          <w:rFonts w:ascii="Arial" w:cs="Arial" w:eastAsia="Arial" w:hAnsi="Arial"/>
          <w:sz w:val="22"/>
          <w:szCs w:val="22"/>
        </w:rPr>
        <w:t xml:space="preserve">Unusual account combinations (debits/credits to unexpected account pairs)</w:t>
      </w:r>
    </w:p>
    <w:p>
      <w:pPr>
        <w:spacing w:before="60" w:after="100"/>
      </w:pPr>
      <w:r>
        <w:rPr>
          <w:rFonts w:ascii="Arial" w:cs="Arial" w:eastAsia="Arial" w:hAnsi="Arial"/>
          <w:sz w:val="22"/>
          <w:szCs w:val="22"/>
        </w:rPr>
        <w:t xml:space="preserve">FR-AAD-002: The system shall assign a risk score between 0 (no risk) and 100 (critical risk) to every flagged anomaly.</w:t>
      </w:r>
    </w:p>
    <w:p>
      <w:pPr>
        <w:spacing w:before="60" w:after="100"/>
      </w:pPr>
      <w:r>
        <w:rPr>
          <w:rFonts w:ascii="Arial" w:cs="Arial" w:eastAsia="Arial" w:hAnsi="Arial"/>
          <w:sz w:val="22"/>
          <w:szCs w:val="22"/>
        </w:rPr>
        <w:t xml:space="preserve">FR-AAD-003: The system shall support at least four ML model types: Isolation Forest, Autoencoder Neural Networks, LSTM for time-series, and XGBoost for classification.</w:t>
      </w:r>
    </w:p>
    <w:p>
      <w:pPr>
        <w:spacing w:before="60" w:after="100"/>
      </w:pPr>
      <w:r>
        <w:rPr>
          <w:rFonts w:ascii="Arial" w:cs="Arial" w:eastAsia="Arial" w:hAnsi="Arial"/>
          <w:sz w:val="22"/>
          <w:szCs w:val="22"/>
        </w:rPr>
        <w:t xml:space="preserve">FR-AAD-004: The system shall continuously retrain models with new data on a configurable schedule (default: weekly).</w:t>
      </w:r>
    </w:p>
    <w:p>
      <w:pPr>
        <w:spacing w:before="80" w:after="80"/>
      </w:pPr>
      <w:r>
        <w:t xml:space="preserve"/>
      </w:r>
    </w:p>
    <w:p>
      <w:pPr>
        <w:pStyle w:val="Heading3"/>
        <w:spacing w:before="180" w:after="60"/>
      </w:pPr>
      <w:r>
        <w:rPr>
          <w:rFonts w:ascii="Arial" w:cs="Arial" w:eastAsia="Arial" w:hAnsi="Arial"/>
          <w:b/>
          <w:bCs/>
          <w:color w:val="404040"/>
          <w:sz w:val="24"/>
          <w:szCs w:val="24"/>
        </w:rPr>
        <w:t xml:space="preserve">3.2.2 Fraud Pattern Recognition</w:t>
      </w:r>
    </w:p>
    <w:p>
      <w:pPr>
        <w:spacing w:before="60" w:after="100"/>
      </w:pPr>
      <w:r>
        <w:rPr>
          <w:rFonts w:ascii="Arial" w:cs="Arial" w:eastAsia="Arial" w:hAnsi="Arial"/>
          <w:sz w:val="22"/>
          <w:szCs w:val="22"/>
        </w:rPr>
        <w:t xml:space="preserve">FR-FPR-001: The system shall detect known fraud patterns including:</w:t>
      </w:r>
    </w:p>
    <w:p>
      <w:pPr>
        <w:pStyle w:val="ListParagraph"/>
        <w:numPr>
          <w:ilvl w:val="0"/>
          <w:numId w:val="2"/>
        </w:numPr>
        <w:spacing w:before="40" w:after="40"/>
      </w:pPr>
      <w:r>
        <w:rPr>
          <w:rFonts w:ascii="Arial" w:cs="Arial" w:eastAsia="Arial" w:hAnsi="Arial"/>
          <w:sz w:val="22"/>
          <w:szCs w:val="22"/>
        </w:rPr>
        <w:t xml:space="preserve">Ghost employee schemes in payroll data</w:t>
      </w:r>
    </w:p>
    <w:p>
      <w:pPr>
        <w:pStyle w:val="ListParagraph"/>
        <w:numPr>
          <w:ilvl w:val="0"/>
          <w:numId w:val="2"/>
        </w:numPr>
        <w:spacing w:before="40" w:after="40"/>
      </w:pPr>
      <w:r>
        <w:rPr>
          <w:rFonts w:ascii="Arial" w:cs="Arial" w:eastAsia="Arial" w:hAnsi="Arial"/>
          <w:sz w:val="22"/>
          <w:szCs w:val="22"/>
        </w:rPr>
        <w:t xml:space="preserve">Vendor invoice manipulation and fictitious vendors</w:t>
      </w:r>
    </w:p>
    <w:p>
      <w:pPr>
        <w:pStyle w:val="ListParagraph"/>
        <w:numPr>
          <w:ilvl w:val="0"/>
          <w:numId w:val="2"/>
        </w:numPr>
        <w:spacing w:before="40" w:after="40"/>
      </w:pPr>
      <w:r>
        <w:rPr>
          <w:rFonts w:ascii="Arial" w:cs="Arial" w:eastAsia="Arial" w:hAnsi="Arial"/>
          <w:sz w:val="22"/>
          <w:szCs w:val="22"/>
        </w:rPr>
        <w:t xml:space="preserve">Expense report fraud (duplicate claims, personal expense misclassification)</w:t>
      </w:r>
    </w:p>
    <w:p>
      <w:pPr>
        <w:pStyle w:val="ListParagraph"/>
        <w:numPr>
          <w:ilvl w:val="0"/>
          <w:numId w:val="2"/>
        </w:numPr>
        <w:spacing w:before="40" w:after="40"/>
      </w:pPr>
      <w:r>
        <w:rPr>
          <w:rFonts w:ascii="Arial" w:cs="Arial" w:eastAsia="Arial" w:hAnsi="Arial"/>
          <w:sz w:val="22"/>
          <w:szCs w:val="22"/>
        </w:rPr>
        <w:t xml:space="preserve">Journal entry manipulation (manual entries by non-authorized users)</w:t>
      </w:r>
    </w:p>
    <w:p>
      <w:pPr>
        <w:pStyle w:val="ListParagraph"/>
        <w:numPr>
          <w:ilvl w:val="0"/>
          <w:numId w:val="2"/>
        </w:numPr>
        <w:spacing w:before="40" w:after="40"/>
      </w:pPr>
      <w:r>
        <w:rPr>
          <w:rFonts w:ascii="Arial" w:cs="Arial" w:eastAsia="Arial" w:hAnsi="Arial"/>
          <w:sz w:val="22"/>
          <w:szCs w:val="22"/>
        </w:rPr>
        <w:t xml:space="preserve">Accounts receivable lapping schemes</w:t>
      </w:r>
    </w:p>
    <w:p>
      <w:pPr>
        <w:pStyle w:val="ListParagraph"/>
        <w:numPr>
          <w:ilvl w:val="0"/>
          <w:numId w:val="2"/>
        </w:numPr>
        <w:spacing w:before="40" w:after="40"/>
      </w:pPr>
      <w:r>
        <w:rPr>
          <w:rFonts w:ascii="Arial" w:cs="Arial" w:eastAsia="Arial" w:hAnsi="Arial"/>
          <w:sz w:val="22"/>
          <w:szCs w:val="22"/>
        </w:rPr>
        <w:t xml:space="preserve">Inventory theft patterns</w:t>
      </w:r>
    </w:p>
    <w:p>
      <w:pPr>
        <w:spacing w:before="60" w:after="100"/>
      </w:pPr>
      <w:r>
        <w:rPr>
          <w:rFonts w:ascii="Arial" w:cs="Arial" w:eastAsia="Arial" w:hAnsi="Arial"/>
          <w:sz w:val="22"/>
          <w:szCs w:val="22"/>
        </w:rPr>
        <w:t xml:space="preserve">FR-FPR-002: The system shall maintain an updateable library of fraud signature patterns with version control.</w:t>
      </w:r>
    </w:p>
    <w:p>
      <w:pPr>
        <w:spacing w:before="60" w:after="100"/>
      </w:pPr>
      <w:r>
        <w:rPr>
          <w:rFonts w:ascii="Arial" w:cs="Arial" w:eastAsia="Arial" w:hAnsi="Arial"/>
          <w:sz w:val="22"/>
          <w:szCs w:val="22"/>
        </w:rPr>
        <w:t xml:space="preserve">FR-FPR-003: The system shall generate a fraud probability score for each detected pattern with supporting evidence.</w:t>
      </w:r>
    </w:p>
    <w:p>
      <w:pPr>
        <w:spacing w:before="80" w:after="80"/>
      </w:pPr>
      <w:r>
        <w:t xml:space="preserve"/>
      </w:r>
    </w:p>
    <w:p>
      <w:pPr>
        <w:pStyle w:val="Heading2"/>
        <w:spacing w:before="240" w:after="80"/>
      </w:pPr>
      <w:r>
        <w:rPr>
          <w:rFonts w:ascii="Arial" w:cs="Arial" w:eastAsia="Arial" w:hAnsi="Arial"/>
          <w:b/>
          <w:bCs/>
          <w:color w:val="2E75B6"/>
          <w:sz w:val="26"/>
          <w:szCs w:val="26"/>
        </w:rPr>
        <w:t xml:space="preserve">3.3 Compliance Checking Module</w:t>
      </w:r>
    </w:p>
    <w:p>
      <w:pPr>
        <w:pStyle w:val="Heading3"/>
        <w:spacing w:before="180" w:after="60"/>
      </w:pPr>
      <w:r>
        <w:rPr>
          <w:rFonts w:ascii="Arial" w:cs="Arial" w:eastAsia="Arial" w:hAnsi="Arial"/>
          <w:b/>
          <w:bCs/>
          <w:color w:val="404040"/>
          <w:sz w:val="24"/>
          <w:szCs w:val="24"/>
        </w:rPr>
        <w:t xml:space="preserve">3.3.1 Regulatory Rule Engine</w:t>
      </w:r>
    </w:p>
    <w:p>
      <w:pPr>
        <w:spacing w:before="60" w:after="100"/>
      </w:pPr>
      <w:r>
        <w:rPr>
          <w:rFonts w:ascii="Arial" w:cs="Arial" w:eastAsia="Arial" w:hAnsi="Arial"/>
          <w:sz w:val="22"/>
          <w:szCs w:val="22"/>
        </w:rPr>
        <w:t xml:space="preserve">FR-CCM-001: The system shall include a configurable rule engine supporting:</w:t>
      </w:r>
    </w:p>
    <w:p>
      <w:pPr>
        <w:pStyle w:val="ListParagraph"/>
        <w:numPr>
          <w:ilvl w:val="0"/>
          <w:numId w:val="2"/>
        </w:numPr>
        <w:spacing w:before="40" w:after="40"/>
      </w:pPr>
      <w:r>
        <w:rPr>
          <w:rFonts w:ascii="Arial" w:cs="Arial" w:eastAsia="Arial" w:hAnsi="Arial"/>
          <w:sz w:val="22"/>
          <w:szCs w:val="22"/>
        </w:rPr>
        <w:t xml:space="preserve">GAAP compliance rules (US GAAP)</w:t>
      </w:r>
    </w:p>
    <w:p>
      <w:pPr>
        <w:pStyle w:val="ListParagraph"/>
        <w:numPr>
          <w:ilvl w:val="0"/>
          <w:numId w:val="2"/>
        </w:numPr>
        <w:spacing w:before="40" w:after="40"/>
      </w:pPr>
      <w:r>
        <w:rPr>
          <w:rFonts w:ascii="Arial" w:cs="Arial" w:eastAsia="Arial" w:hAnsi="Arial"/>
          <w:sz w:val="22"/>
          <w:szCs w:val="22"/>
        </w:rPr>
        <w:t xml:space="preserve">IFRS compliance rules</w:t>
      </w:r>
    </w:p>
    <w:p>
      <w:pPr>
        <w:pStyle w:val="ListParagraph"/>
        <w:numPr>
          <w:ilvl w:val="0"/>
          <w:numId w:val="2"/>
        </w:numPr>
        <w:spacing w:before="40" w:after="40"/>
      </w:pPr>
      <w:r>
        <w:rPr>
          <w:rFonts w:ascii="Arial" w:cs="Arial" w:eastAsia="Arial" w:hAnsi="Arial"/>
          <w:sz w:val="22"/>
          <w:szCs w:val="22"/>
        </w:rPr>
        <w:t xml:space="preserve">Local tax regulations (configurable per jurisdiction)</w:t>
      </w:r>
    </w:p>
    <w:p>
      <w:pPr>
        <w:pStyle w:val="ListParagraph"/>
        <w:numPr>
          <w:ilvl w:val="0"/>
          <w:numId w:val="2"/>
        </w:numPr>
        <w:spacing w:before="40" w:after="40"/>
      </w:pPr>
      <w:r>
        <w:rPr>
          <w:rFonts w:ascii="Arial" w:cs="Arial" w:eastAsia="Arial" w:hAnsi="Arial"/>
          <w:sz w:val="22"/>
          <w:szCs w:val="22"/>
        </w:rPr>
        <w:t xml:space="preserve">Internal policy compliance rules (user-defined)</w:t>
      </w:r>
    </w:p>
    <w:p>
      <w:pPr>
        <w:pStyle w:val="ListParagraph"/>
        <w:numPr>
          <w:ilvl w:val="0"/>
          <w:numId w:val="2"/>
        </w:numPr>
        <w:spacing w:before="40" w:after="40"/>
      </w:pPr>
      <w:r>
        <w:rPr>
          <w:rFonts w:ascii="Arial" w:cs="Arial" w:eastAsia="Arial" w:hAnsi="Arial"/>
          <w:sz w:val="22"/>
          <w:szCs w:val="22"/>
        </w:rPr>
        <w:t xml:space="preserve">Sarbanes-Oxley (SOX) control requirements</w:t>
      </w:r>
    </w:p>
    <w:p>
      <w:pPr>
        <w:spacing w:before="60" w:after="100"/>
      </w:pPr>
      <w:r>
        <w:rPr>
          <w:rFonts w:ascii="Arial" w:cs="Arial" w:eastAsia="Arial" w:hAnsi="Arial"/>
          <w:sz w:val="22"/>
          <w:szCs w:val="22"/>
        </w:rPr>
        <w:t xml:space="preserve">FR-CCM-002: The system shall flag any transaction or balance that violates configured compliance rules with the specific rule citation.</w:t>
      </w:r>
    </w:p>
    <w:p>
      <w:pPr>
        <w:spacing w:before="60" w:after="100"/>
      </w:pPr>
      <w:r>
        <w:rPr>
          <w:rFonts w:ascii="Arial" w:cs="Arial" w:eastAsia="Arial" w:hAnsi="Arial"/>
          <w:sz w:val="22"/>
          <w:szCs w:val="22"/>
        </w:rPr>
        <w:t xml:space="preserve">FR-CCM-003: The system shall track regulatory rule updates and notify administrators when rule libraries are updated.</w:t>
      </w:r>
    </w:p>
    <w:p>
      <w:pPr>
        <w:spacing w:before="80" w:after="80"/>
      </w:pPr>
      <w:r>
        <w:t xml:space="preserve"/>
      </w:r>
    </w:p>
    <w:p>
      <w:pPr>
        <w:pStyle w:val="Heading3"/>
        <w:spacing w:before="180" w:after="60"/>
      </w:pPr>
      <w:r>
        <w:rPr>
          <w:rFonts w:ascii="Arial" w:cs="Arial" w:eastAsia="Arial" w:hAnsi="Arial"/>
          <w:b/>
          <w:bCs/>
          <w:color w:val="404040"/>
          <w:sz w:val="24"/>
          <w:szCs w:val="24"/>
        </w:rPr>
        <w:t xml:space="preserve">3.3.2 Financial Ratio Analysis</w:t>
      </w:r>
    </w:p>
    <w:p>
      <w:pPr>
        <w:spacing w:before="60" w:after="100"/>
      </w:pPr>
      <w:r>
        <w:rPr>
          <w:rFonts w:ascii="Arial" w:cs="Arial" w:eastAsia="Arial" w:hAnsi="Arial"/>
          <w:sz w:val="22"/>
          <w:szCs w:val="22"/>
        </w:rPr>
        <w:t xml:space="preserve">FR-CCM-004: The system shall automatically compute and monitor the following financial ratios:</w:t>
      </w:r>
    </w:p>
    <w:p>
      <w:pPr>
        <w:pStyle w:val="ListParagraph"/>
        <w:numPr>
          <w:ilvl w:val="0"/>
          <w:numId w:val="2"/>
        </w:numPr>
        <w:spacing w:before="40" w:after="40"/>
      </w:pPr>
      <w:r>
        <w:rPr>
          <w:rFonts w:ascii="Arial" w:cs="Arial" w:eastAsia="Arial" w:hAnsi="Arial"/>
          <w:sz w:val="22"/>
          <w:szCs w:val="22"/>
        </w:rPr>
        <w:t xml:space="preserve">Liquidity Ratios: Current ratio, Quick ratio, Cash ratio</w:t>
      </w:r>
    </w:p>
    <w:p>
      <w:pPr>
        <w:pStyle w:val="ListParagraph"/>
        <w:numPr>
          <w:ilvl w:val="0"/>
          <w:numId w:val="2"/>
        </w:numPr>
        <w:spacing w:before="40" w:after="40"/>
      </w:pPr>
      <w:r>
        <w:rPr>
          <w:rFonts w:ascii="Arial" w:cs="Arial" w:eastAsia="Arial" w:hAnsi="Arial"/>
          <w:sz w:val="22"/>
          <w:szCs w:val="22"/>
        </w:rPr>
        <w:t xml:space="preserve">Profitability Ratios: Gross margin, Net margin, ROA, ROE</w:t>
      </w:r>
    </w:p>
    <w:p>
      <w:pPr>
        <w:pStyle w:val="ListParagraph"/>
        <w:numPr>
          <w:ilvl w:val="0"/>
          <w:numId w:val="2"/>
        </w:numPr>
        <w:spacing w:before="40" w:after="40"/>
      </w:pPr>
      <w:r>
        <w:rPr>
          <w:rFonts w:ascii="Arial" w:cs="Arial" w:eastAsia="Arial" w:hAnsi="Arial"/>
          <w:sz w:val="22"/>
          <w:szCs w:val="22"/>
        </w:rPr>
        <w:t xml:space="preserve">Leverage Ratios: Debt-to-equity, Interest coverage</w:t>
      </w:r>
    </w:p>
    <w:p>
      <w:pPr>
        <w:pStyle w:val="ListParagraph"/>
        <w:numPr>
          <w:ilvl w:val="0"/>
          <w:numId w:val="2"/>
        </w:numPr>
        <w:spacing w:before="40" w:after="40"/>
      </w:pPr>
      <w:r>
        <w:rPr>
          <w:rFonts w:ascii="Arial" w:cs="Arial" w:eastAsia="Arial" w:hAnsi="Arial"/>
          <w:sz w:val="22"/>
          <w:szCs w:val="22"/>
        </w:rPr>
        <w:t xml:space="preserve">Activity Ratios: Asset turnover, Inventory turnover, DSO</w:t>
      </w:r>
    </w:p>
    <w:p>
      <w:pPr>
        <w:spacing w:before="60" w:after="100"/>
      </w:pPr>
      <w:r>
        <w:rPr>
          <w:rFonts w:ascii="Arial" w:cs="Arial" w:eastAsia="Arial" w:hAnsi="Arial"/>
          <w:sz w:val="22"/>
          <w:szCs w:val="22"/>
        </w:rPr>
        <w:t xml:space="preserve">FR-CCM-005: The system shall alert users when any ratio deviates significantly from industry benchmarks or prior-period values.</w:t>
      </w:r>
    </w:p>
    <w:p>
      <w:pPr>
        <w:spacing w:before="80" w:after="80"/>
      </w:pPr>
      <w:r>
        <w:t xml:space="preserve"/>
      </w:r>
    </w:p>
    <w:p>
      <w:pPr>
        <w:pStyle w:val="Heading2"/>
        <w:spacing w:before="240" w:after="80"/>
      </w:pPr>
      <w:r>
        <w:rPr>
          <w:rFonts w:ascii="Arial" w:cs="Arial" w:eastAsia="Arial" w:hAnsi="Arial"/>
          <w:b/>
          <w:bCs/>
          <w:color w:val="2E75B6"/>
          <w:sz w:val="26"/>
          <w:szCs w:val="26"/>
        </w:rPr>
        <w:t xml:space="preserve">3.4 Natural Language Query Interface</w:t>
      </w:r>
    </w:p>
    <w:p>
      <w:pPr>
        <w:spacing w:before="60" w:after="100"/>
      </w:pPr>
      <w:r>
        <w:rPr>
          <w:rFonts w:ascii="Arial" w:cs="Arial" w:eastAsia="Arial" w:hAnsi="Arial"/>
          <w:sz w:val="22"/>
          <w:szCs w:val="22"/>
        </w:rPr>
        <w:t xml:space="preserve">FR-NLQ-001: The system shall provide a natural language query interface enabling auditors to ask questions such as:</w:t>
      </w:r>
    </w:p>
    <w:p>
      <w:pPr>
        <w:pStyle w:val="ListParagraph"/>
        <w:numPr>
          <w:ilvl w:val="0"/>
          <w:numId w:val="2"/>
        </w:numPr>
        <w:spacing w:before="40" w:after="40"/>
      </w:pPr>
      <w:r>
        <w:rPr>
          <w:rFonts w:ascii="Arial" w:cs="Arial" w:eastAsia="Arial" w:hAnsi="Arial"/>
          <w:sz w:val="22"/>
          <w:szCs w:val="22"/>
        </w:rPr>
        <w:t xml:space="preserve">"Show all transactions above $50,000 approved by a single user in the last 30 days"</w:t>
      </w:r>
    </w:p>
    <w:p>
      <w:pPr>
        <w:pStyle w:val="ListParagraph"/>
        <w:numPr>
          <w:ilvl w:val="0"/>
          <w:numId w:val="2"/>
        </w:numPr>
        <w:spacing w:before="40" w:after="40"/>
      </w:pPr>
      <w:r>
        <w:rPr>
          <w:rFonts w:ascii="Arial" w:cs="Arial" w:eastAsia="Arial" w:hAnsi="Arial"/>
          <w:sz w:val="22"/>
          <w:szCs w:val="22"/>
        </w:rPr>
        <w:t xml:space="preserve">"Which vendors had the largest increase in invoices this quarter?"</w:t>
      </w:r>
    </w:p>
    <w:p>
      <w:pPr>
        <w:pStyle w:val="ListParagraph"/>
        <w:numPr>
          <w:ilvl w:val="0"/>
          <w:numId w:val="2"/>
        </w:numPr>
        <w:spacing w:before="40" w:after="40"/>
      </w:pPr>
      <w:r>
        <w:rPr>
          <w:rFonts w:ascii="Arial" w:cs="Arial" w:eastAsia="Arial" w:hAnsi="Arial"/>
          <w:sz w:val="22"/>
          <w:szCs w:val="22"/>
        </w:rPr>
        <w:t xml:space="preserve">"List all journal entries posted on weekends in Q3"</w:t>
      </w:r>
    </w:p>
    <w:p>
      <w:pPr>
        <w:spacing w:before="60" w:after="100"/>
      </w:pPr>
      <w:r>
        <w:rPr>
          <w:rFonts w:ascii="Arial" w:cs="Arial" w:eastAsia="Arial" w:hAnsi="Arial"/>
          <w:sz w:val="22"/>
          <w:szCs w:val="22"/>
        </w:rPr>
        <w:t xml:space="preserve">FR-NLQ-002: The system shall convert NLP queries to structured database queries using an integrated LLM-based query translator.</w:t>
      </w:r>
    </w:p>
    <w:p>
      <w:pPr>
        <w:spacing w:before="60" w:after="100"/>
      </w:pPr>
      <w:r>
        <w:rPr>
          <w:rFonts w:ascii="Arial" w:cs="Arial" w:eastAsia="Arial" w:hAnsi="Arial"/>
          <w:sz w:val="22"/>
          <w:szCs w:val="22"/>
        </w:rPr>
        <w:t xml:space="preserve">FR-NLQ-003: The system shall display query results in tabular format with export capability to Excel and CSV.</w:t>
      </w:r>
    </w:p>
    <w:p>
      <w:pPr>
        <w:spacing w:before="60" w:after="100"/>
      </w:pPr>
      <w:r>
        <w:rPr>
          <w:rFonts w:ascii="Arial" w:cs="Arial" w:eastAsia="Arial" w:hAnsi="Arial"/>
          <w:sz w:val="22"/>
          <w:szCs w:val="22"/>
        </w:rPr>
        <w:t xml:space="preserve">FR-NLQ-004: The system shall maintain a query history with saved search capability.</w:t>
      </w:r>
    </w:p>
    <w:p>
      <w:pPr>
        <w:spacing w:before="80" w:after="80"/>
      </w:pPr>
      <w:r>
        <w:t xml:space="preserve"/>
      </w:r>
    </w:p>
    <w:p>
      <w:pPr>
        <w:pStyle w:val="Heading2"/>
        <w:spacing w:before="240" w:after="80"/>
      </w:pPr>
      <w:r>
        <w:rPr>
          <w:rFonts w:ascii="Arial" w:cs="Arial" w:eastAsia="Arial" w:hAnsi="Arial"/>
          <w:b/>
          <w:bCs/>
          <w:color w:val="2E75B6"/>
          <w:sz w:val="26"/>
          <w:szCs w:val="26"/>
        </w:rPr>
        <w:t xml:space="preserve">3.5 Audit Report Generation Module</w:t>
      </w:r>
    </w:p>
    <w:p>
      <w:pPr>
        <w:pStyle w:val="Heading3"/>
        <w:spacing w:before="180" w:after="60"/>
      </w:pPr>
      <w:r>
        <w:rPr>
          <w:rFonts w:ascii="Arial" w:cs="Arial" w:eastAsia="Arial" w:hAnsi="Arial"/>
          <w:b/>
          <w:bCs/>
          <w:color w:val="404040"/>
          <w:sz w:val="24"/>
          <w:szCs w:val="24"/>
        </w:rPr>
        <w:t xml:space="preserve">3.5.1 Automated Report Generation</w:t>
      </w:r>
    </w:p>
    <w:p>
      <w:pPr>
        <w:spacing w:before="60" w:after="100"/>
      </w:pPr>
      <w:r>
        <w:rPr>
          <w:rFonts w:ascii="Arial" w:cs="Arial" w:eastAsia="Arial" w:hAnsi="Arial"/>
          <w:sz w:val="22"/>
          <w:szCs w:val="22"/>
        </w:rPr>
        <w:t xml:space="preserve">FR-ARG-001: The system shall generate the following report types automatically:</w:t>
      </w:r>
    </w:p>
    <w:p>
      <w:pPr>
        <w:pStyle w:val="ListParagraph"/>
        <w:numPr>
          <w:ilvl w:val="0"/>
          <w:numId w:val="2"/>
        </w:numPr>
        <w:spacing w:before="40" w:after="40"/>
      </w:pPr>
      <w:r>
        <w:rPr>
          <w:rFonts w:ascii="Arial" w:cs="Arial" w:eastAsia="Arial" w:hAnsi="Arial"/>
          <w:sz w:val="22"/>
          <w:szCs w:val="22"/>
        </w:rPr>
        <w:t xml:space="preserve">Executive Summary Report – High-level findings for management</w:t>
      </w:r>
    </w:p>
    <w:p>
      <w:pPr>
        <w:pStyle w:val="ListParagraph"/>
        <w:numPr>
          <w:ilvl w:val="0"/>
          <w:numId w:val="2"/>
        </w:numPr>
        <w:spacing w:before="40" w:after="40"/>
      </w:pPr>
      <w:r>
        <w:rPr>
          <w:rFonts w:ascii="Arial" w:cs="Arial" w:eastAsia="Arial" w:hAnsi="Arial"/>
          <w:sz w:val="22"/>
          <w:szCs w:val="22"/>
        </w:rPr>
        <w:t xml:space="preserve">Detailed Audit Findings Report – Full technical findings with evidence</w:t>
      </w:r>
    </w:p>
    <w:p>
      <w:pPr>
        <w:pStyle w:val="ListParagraph"/>
        <w:numPr>
          <w:ilvl w:val="0"/>
          <w:numId w:val="2"/>
        </w:numPr>
        <w:spacing w:before="40" w:after="40"/>
      </w:pPr>
      <w:r>
        <w:rPr>
          <w:rFonts w:ascii="Arial" w:cs="Arial" w:eastAsia="Arial" w:hAnsi="Arial"/>
          <w:sz w:val="22"/>
          <w:szCs w:val="22"/>
        </w:rPr>
        <w:t xml:space="preserve">Anomaly Detail Report – Per-anomaly analysis with supporting data</w:t>
      </w:r>
    </w:p>
    <w:p>
      <w:pPr>
        <w:pStyle w:val="ListParagraph"/>
        <w:numPr>
          <w:ilvl w:val="0"/>
          <w:numId w:val="2"/>
        </w:numPr>
        <w:spacing w:before="40" w:after="40"/>
      </w:pPr>
      <w:r>
        <w:rPr>
          <w:rFonts w:ascii="Arial" w:cs="Arial" w:eastAsia="Arial" w:hAnsi="Arial"/>
          <w:sz w:val="22"/>
          <w:szCs w:val="22"/>
        </w:rPr>
        <w:t xml:space="preserve">Compliance Status Report – Regulatory compliance scorecard</w:t>
      </w:r>
    </w:p>
    <w:p>
      <w:pPr>
        <w:pStyle w:val="ListParagraph"/>
        <w:numPr>
          <w:ilvl w:val="0"/>
          <w:numId w:val="2"/>
        </w:numPr>
        <w:spacing w:before="40" w:after="40"/>
      </w:pPr>
      <w:r>
        <w:rPr>
          <w:rFonts w:ascii="Arial" w:cs="Arial" w:eastAsia="Arial" w:hAnsi="Arial"/>
          <w:sz w:val="22"/>
          <w:szCs w:val="22"/>
        </w:rPr>
        <w:t xml:space="preserve">Risk Heat Map Report – Visual risk matrix by category and severity</w:t>
      </w:r>
    </w:p>
    <w:p>
      <w:pPr>
        <w:pStyle w:val="ListParagraph"/>
        <w:numPr>
          <w:ilvl w:val="0"/>
          <w:numId w:val="2"/>
        </w:numPr>
        <w:spacing w:before="40" w:after="40"/>
      </w:pPr>
      <w:r>
        <w:rPr>
          <w:rFonts w:ascii="Arial" w:cs="Arial" w:eastAsia="Arial" w:hAnsi="Arial"/>
          <w:sz w:val="22"/>
          <w:szCs w:val="22"/>
        </w:rPr>
        <w:t xml:space="preserve">Management Letter – Formatted letter with recommendations</w:t>
      </w:r>
    </w:p>
    <w:p>
      <w:pPr>
        <w:pStyle w:val="ListParagraph"/>
        <w:numPr>
          <w:ilvl w:val="0"/>
          <w:numId w:val="2"/>
        </w:numPr>
        <w:spacing w:before="40" w:after="40"/>
      </w:pPr>
      <w:r>
        <w:rPr>
          <w:rFonts w:ascii="Arial" w:cs="Arial" w:eastAsia="Arial" w:hAnsi="Arial"/>
          <w:sz w:val="22"/>
          <w:szCs w:val="22"/>
        </w:rPr>
        <w:t xml:space="preserve">Continuous Monitoring Dashboard – Real-time KPI summary</w:t>
      </w:r>
    </w:p>
    <w:p>
      <w:pPr>
        <w:spacing w:before="60" w:after="100"/>
      </w:pPr>
      <w:r>
        <w:rPr>
          <w:rFonts w:ascii="Arial" w:cs="Arial" w:eastAsia="Arial" w:hAnsi="Arial"/>
          <w:sz w:val="22"/>
          <w:szCs w:val="22"/>
        </w:rPr>
        <w:t xml:space="preserve">FR-ARG-002: Reports shall be exportable in PDF, Word (.docx), Excel (.xlsx), and HTML formats.</w:t>
      </w:r>
    </w:p>
    <w:p>
      <w:pPr>
        <w:spacing w:before="60" w:after="100"/>
      </w:pPr>
      <w:r>
        <w:rPr>
          <w:rFonts w:ascii="Arial" w:cs="Arial" w:eastAsia="Arial" w:hAnsi="Arial"/>
          <w:sz w:val="22"/>
          <w:szCs w:val="22"/>
        </w:rPr>
        <w:t xml:space="preserve">FR-ARG-003: The system shall support scheduled report delivery via email to configured recipients.</w:t>
      </w:r>
    </w:p>
    <w:p>
      <w:pPr>
        <w:spacing w:before="60" w:after="100"/>
      </w:pPr>
      <w:r>
        <w:rPr>
          <w:rFonts w:ascii="Arial" w:cs="Arial" w:eastAsia="Arial" w:hAnsi="Arial"/>
          <w:sz w:val="22"/>
          <w:szCs w:val="22"/>
        </w:rPr>
        <w:t xml:space="preserve">FR-ARG-004: All reports shall include AI confidence scores and explainability narratives for each finding.</w:t>
      </w:r>
    </w:p>
    <w:p>
      <w:pPr>
        <w:spacing w:before="80" w:after="80"/>
      </w:pPr>
      <w:r>
        <w:t xml:space="preserve"/>
      </w:r>
    </w:p>
    <w:p>
      <w:pPr>
        <w:pStyle w:val="Heading3"/>
        <w:spacing w:before="180" w:after="60"/>
      </w:pPr>
      <w:r>
        <w:rPr>
          <w:rFonts w:ascii="Arial" w:cs="Arial" w:eastAsia="Arial" w:hAnsi="Arial"/>
          <w:b/>
          <w:bCs/>
          <w:color w:val="404040"/>
          <w:sz w:val="24"/>
          <w:szCs w:val="24"/>
        </w:rPr>
        <w:t xml:space="preserve">3.5.2 Dashboard and Visualization</w:t>
      </w:r>
    </w:p>
    <w:p>
      <w:pPr>
        <w:spacing w:before="60" w:after="100"/>
      </w:pPr>
      <w:r>
        <w:rPr>
          <w:rFonts w:ascii="Arial" w:cs="Arial" w:eastAsia="Arial" w:hAnsi="Arial"/>
          <w:sz w:val="22"/>
          <w:szCs w:val="22"/>
        </w:rPr>
        <w:t xml:space="preserve">FR-ARG-005: The system shall provide an interactive dashboard displaying:</w:t>
      </w:r>
    </w:p>
    <w:p>
      <w:pPr>
        <w:pStyle w:val="ListParagraph"/>
        <w:numPr>
          <w:ilvl w:val="0"/>
          <w:numId w:val="2"/>
        </w:numPr>
        <w:spacing w:before="40" w:after="40"/>
      </w:pPr>
      <w:r>
        <w:rPr>
          <w:rFonts w:ascii="Arial" w:cs="Arial" w:eastAsia="Arial" w:hAnsi="Arial"/>
          <w:sz w:val="22"/>
          <w:szCs w:val="22"/>
        </w:rPr>
        <w:t xml:space="preserve">Real-time transaction monitoring counters</w:t>
      </w:r>
    </w:p>
    <w:p>
      <w:pPr>
        <w:pStyle w:val="ListParagraph"/>
        <w:numPr>
          <w:ilvl w:val="0"/>
          <w:numId w:val="2"/>
        </w:numPr>
        <w:spacing w:before="40" w:after="40"/>
      </w:pPr>
      <w:r>
        <w:rPr>
          <w:rFonts w:ascii="Arial" w:cs="Arial" w:eastAsia="Arial" w:hAnsi="Arial"/>
          <w:sz w:val="22"/>
          <w:szCs w:val="22"/>
        </w:rPr>
        <w:t xml:space="preserve">Risk score distribution charts (donut/bar charts)</w:t>
      </w:r>
    </w:p>
    <w:p>
      <w:pPr>
        <w:pStyle w:val="ListParagraph"/>
        <w:numPr>
          <w:ilvl w:val="0"/>
          <w:numId w:val="2"/>
        </w:numPr>
        <w:spacing w:before="40" w:after="40"/>
      </w:pPr>
      <w:r>
        <w:rPr>
          <w:rFonts w:ascii="Arial" w:cs="Arial" w:eastAsia="Arial" w:hAnsi="Arial"/>
          <w:sz w:val="22"/>
          <w:szCs w:val="22"/>
        </w:rPr>
        <w:t xml:space="preserve">Anomaly trend over time (line chart)</w:t>
      </w:r>
    </w:p>
    <w:p>
      <w:pPr>
        <w:pStyle w:val="ListParagraph"/>
        <w:numPr>
          <w:ilvl w:val="0"/>
          <w:numId w:val="2"/>
        </w:numPr>
        <w:spacing w:before="40" w:after="40"/>
      </w:pPr>
      <w:r>
        <w:rPr>
          <w:rFonts w:ascii="Arial" w:cs="Arial" w:eastAsia="Arial" w:hAnsi="Arial"/>
          <w:sz w:val="22"/>
          <w:szCs w:val="22"/>
        </w:rPr>
        <w:t xml:space="preserve">Top 10 risk items requiring immediate attention</w:t>
      </w:r>
    </w:p>
    <w:p>
      <w:pPr>
        <w:pStyle w:val="ListParagraph"/>
        <w:numPr>
          <w:ilvl w:val="0"/>
          <w:numId w:val="2"/>
        </w:numPr>
        <w:spacing w:before="40" w:after="40"/>
      </w:pPr>
      <w:r>
        <w:rPr>
          <w:rFonts w:ascii="Arial" w:cs="Arial" w:eastAsia="Arial" w:hAnsi="Arial"/>
          <w:sz w:val="22"/>
          <w:szCs w:val="22"/>
        </w:rPr>
        <w:t xml:space="preserve">Compliance status by category (traffic light indicators)</w:t>
      </w:r>
    </w:p>
    <w:p>
      <w:pPr>
        <w:pStyle w:val="ListParagraph"/>
        <w:numPr>
          <w:ilvl w:val="0"/>
          <w:numId w:val="2"/>
        </w:numPr>
        <w:spacing w:before="40" w:after="40"/>
      </w:pPr>
      <w:r>
        <w:rPr>
          <w:rFonts w:ascii="Arial" w:cs="Arial" w:eastAsia="Arial" w:hAnsi="Arial"/>
          <w:sz w:val="22"/>
          <w:szCs w:val="22"/>
        </w:rPr>
        <w:t xml:space="preserve">Geographic heat map of transaction locations (if applicable)</w:t>
      </w:r>
    </w:p>
    <w:p>
      <w:pPr>
        <w:spacing w:before="80" w:after="80"/>
      </w:pPr>
      <w:r>
        <w:t xml:space="preserve"/>
      </w:r>
    </w:p>
    <w:p>
      <w:pPr>
        <w:pStyle w:val="Heading2"/>
        <w:spacing w:before="240" w:after="80"/>
      </w:pPr>
      <w:r>
        <w:rPr>
          <w:rFonts w:ascii="Arial" w:cs="Arial" w:eastAsia="Arial" w:hAnsi="Arial"/>
          <w:b/>
          <w:bCs/>
          <w:color w:val="2E75B6"/>
          <w:sz w:val="26"/>
          <w:szCs w:val="26"/>
        </w:rPr>
        <w:t xml:space="preserve">3.6 Workflow and Case Management</w:t>
      </w:r>
    </w:p>
    <w:p>
      <w:pPr>
        <w:spacing w:before="60" w:after="100"/>
      </w:pPr>
      <w:r>
        <w:rPr>
          <w:rFonts w:ascii="Arial" w:cs="Arial" w:eastAsia="Arial" w:hAnsi="Arial"/>
          <w:sz w:val="22"/>
          <w:szCs w:val="22"/>
        </w:rPr>
        <w:t xml:space="preserve">FR-WCM-001: The system shall automatically create audit cases for each high-priority anomaly (risk score &gt; 70).</w:t>
      </w:r>
    </w:p>
    <w:p>
      <w:pPr>
        <w:spacing w:before="60" w:after="100"/>
      </w:pPr>
      <w:r>
        <w:rPr>
          <w:rFonts w:ascii="Arial" w:cs="Arial" w:eastAsia="Arial" w:hAnsi="Arial"/>
          <w:sz w:val="22"/>
          <w:szCs w:val="22"/>
        </w:rPr>
        <w:t xml:space="preserve">FR-WCM-002: Cases shall be assignable to specific auditors with due dates, priority levels, and status tracking.</w:t>
      </w:r>
    </w:p>
    <w:p>
      <w:pPr>
        <w:spacing w:before="60" w:after="100"/>
      </w:pPr>
      <w:r>
        <w:rPr>
          <w:rFonts w:ascii="Arial" w:cs="Arial" w:eastAsia="Arial" w:hAnsi="Arial"/>
          <w:sz w:val="22"/>
          <w:szCs w:val="22"/>
        </w:rPr>
        <w:t xml:space="preserve">FR-WCM-003: The system shall support multi-step approval workflows for audit findings before they are finalized.</w:t>
      </w:r>
    </w:p>
    <w:p>
      <w:pPr>
        <w:spacing w:before="60" w:after="100"/>
      </w:pPr>
      <w:r>
        <w:rPr>
          <w:rFonts w:ascii="Arial" w:cs="Arial" w:eastAsia="Arial" w:hAnsi="Arial"/>
          <w:sz w:val="22"/>
          <w:szCs w:val="22"/>
        </w:rPr>
        <w:t xml:space="preserve">FR-WCM-004: The system shall send email and in-app notifications for case assignments, updates, and approaching deadlines.</w:t>
      </w:r>
    </w:p>
    <w:p>
      <w:pPr>
        <w:spacing w:before="60" w:after="100"/>
      </w:pPr>
      <w:r>
        <w:rPr>
          <w:rFonts w:ascii="Arial" w:cs="Arial" w:eastAsia="Arial" w:hAnsi="Arial"/>
          <w:sz w:val="22"/>
          <w:szCs w:val="22"/>
        </w:rPr>
        <w:t xml:space="preserve">FR-WCM-005: The system shall maintain a full audit trail of all case actions including comments, attachments, and status changes.</w:t>
      </w:r>
    </w:p>
    <w:p>
      <w:pPr>
        <w:spacing w:before="80" w:after="80"/>
      </w:pPr>
      <w:r>
        <w:t xml:space="preserve"/>
      </w:r>
    </w:p>
    <w:p>
      <w:pPr>
        <w:pStyle w:val="Heading2"/>
        <w:spacing w:before="240" w:after="80"/>
      </w:pPr>
      <w:r>
        <w:rPr>
          <w:rFonts w:ascii="Arial" w:cs="Arial" w:eastAsia="Arial" w:hAnsi="Arial"/>
          <w:b/>
          <w:bCs/>
          <w:color w:val="2E75B6"/>
          <w:sz w:val="26"/>
          <w:szCs w:val="26"/>
        </w:rPr>
        <w:t xml:space="preserve">3.7 User Management and Access Control</w:t>
      </w:r>
    </w:p>
    <w:p>
      <w:pPr>
        <w:spacing w:before="60" w:after="100"/>
      </w:pPr>
      <w:r>
        <w:rPr>
          <w:rFonts w:ascii="Arial" w:cs="Arial" w:eastAsia="Arial" w:hAnsi="Arial"/>
          <w:sz w:val="22"/>
          <w:szCs w:val="22"/>
        </w:rPr>
        <w:t xml:space="preserve">FR-UAC-001: The system shall implement Role-Based Access Control (RBAC) with a minimum of six pre-defined roles (see Section 2.3).</w:t>
      </w:r>
    </w:p>
    <w:p>
      <w:pPr>
        <w:spacing w:before="60" w:after="100"/>
      </w:pPr>
      <w:r>
        <w:rPr>
          <w:rFonts w:ascii="Arial" w:cs="Arial" w:eastAsia="Arial" w:hAnsi="Arial"/>
          <w:sz w:val="22"/>
          <w:szCs w:val="22"/>
        </w:rPr>
        <w:t xml:space="preserve">FR-UAC-002: The system shall support Single Sign-On (SSO) via SAML 2.0 and OAuth 2.0.</w:t>
      </w:r>
    </w:p>
    <w:p>
      <w:pPr>
        <w:spacing w:before="60" w:after="100"/>
      </w:pPr>
      <w:r>
        <w:rPr>
          <w:rFonts w:ascii="Arial" w:cs="Arial" w:eastAsia="Arial" w:hAnsi="Arial"/>
          <w:sz w:val="22"/>
          <w:szCs w:val="22"/>
        </w:rPr>
        <w:t xml:space="preserve">FR-UAC-003: The system shall enforce Multi-Factor Authentication (MFA) for all user accounts.</w:t>
      </w:r>
    </w:p>
    <w:p>
      <w:pPr>
        <w:spacing w:before="60" w:after="100"/>
      </w:pPr>
      <w:r>
        <w:rPr>
          <w:rFonts w:ascii="Arial" w:cs="Arial" w:eastAsia="Arial" w:hAnsi="Arial"/>
          <w:sz w:val="22"/>
          <w:szCs w:val="22"/>
        </w:rPr>
        <w:t xml:space="preserve">FR-UAC-004: The system shall log all user authentication events, session activities, and data access actions.</w:t>
      </w:r>
    </w:p>
    <w:p>
      <w:pPr>
        <w:spacing w:before="60" w:after="100"/>
      </w:pPr>
      <w:r>
        <w:rPr>
          <w:rFonts w:ascii="Arial" w:cs="Arial" w:eastAsia="Arial" w:hAnsi="Arial"/>
          <w:sz w:val="22"/>
          <w:szCs w:val="22"/>
        </w:rPr>
        <w:t xml:space="preserve">FR-UAC-005: The system shall support data scoping – restricting users' access to financial data relevant to their department or business unit only.</w:t>
      </w:r>
    </w:p>
    <w:p>
      <w:pPr>
        <w:spacing w:before="80" w:after="80"/>
      </w:pPr>
      <w:r>
        <w:t xml:space="preserve"/>
      </w:r>
    </w:p>
    <w:p>
      <w:pPr>
        <w:pStyle w:val="Heading1"/>
        <w:spacing w:before="360" w:after="120"/>
      </w:pPr>
      <w:r>
        <w:rPr>
          <w:rFonts w:ascii="Arial" w:cs="Arial" w:eastAsia="Arial" w:hAnsi="Arial"/>
          <w:b/>
          <w:bCs/>
          <w:color w:val="1F4E79"/>
          <w:sz w:val="32"/>
          <w:szCs w:val="32"/>
        </w:rPr>
        <w:t xml:space="preserve">4. Non-Functional Requirements</w:t>
      </w:r>
    </w:p>
    <w:p>
      <w:pPr>
        <w:pStyle w:val="Heading2"/>
        <w:spacing w:before="240" w:after="80"/>
      </w:pPr>
      <w:r>
        <w:rPr>
          <w:rFonts w:ascii="Arial" w:cs="Arial" w:eastAsia="Arial" w:hAnsi="Arial"/>
          <w:b/>
          <w:bCs/>
          <w:color w:val="2E75B6"/>
          <w:sz w:val="26"/>
          <w:szCs w:val="26"/>
        </w:rPr>
        <w:t xml:space="preserve">4.1 Performance Requirements</w:t>
      </w:r>
    </w:p>
    <w:p>
      <w:pPr>
        <w:spacing w:before="8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4000"/>
        <w:gridCol w:w="3360"/>
      </w:tblGrid>
      <w:tr>
        <w:trPr>
          <w:tblHeader/>
        </w:trPr>
        <w:tc>
          <w:tcPr>
            <w:tcW w:type="dxa" w:w="2000"/>
            <w:tcBorders>
              <w:top w:val="single" w:color="1F4E79" w:sz="1"/>
              <w:left w:val="single" w:color="1F4E79" w:sz="1"/>
              <w:bottom w:val="single" w:color="1F4E79" w:sz="1"/>
              <w:right w:val="single" w:color="1F4E79" w:sz="1"/>
            </w:tcBorders>
            <w:shd w:fill="1F4E79" w:val="clear"/>
            <w:tcMar>
              <w:top w:type="dxa" w:w="100"/>
              <w:left w:type="dxa" w:w="120"/>
              <w:bottom w:type="dxa" w:w="100"/>
              <w:right w:type="dxa" w:w="120"/>
            </w:tcMar>
            <w:vAlign w:val="center"/>
          </w:tcPr>
          <w:p>
            <w:pPr>
              <w:jc w:val="center"/>
            </w:pPr>
            <w:r>
              <w:rPr>
                <w:rFonts w:ascii="Arial" w:cs="Arial" w:eastAsia="Arial" w:hAnsi="Arial"/>
                <w:b/>
                <w:bCs/>
                <w:color w:val="FFFFFF"/>
                <w:sz w:val="20"/>
                <w:szCs w:val="20"/>
              </w:rPr>
              <w:t xml:space="preserve">Requirement ID</w:t>
            </w:r>
          </w:p>
        </w:tc>
        <w:tc>
          <w:tcPr>
            <w:tcW w:type="dxa" w:w="4000"/>
            <w:tcBorders>
              <w:top w:val="single" w:color="1F4E79" w:sz="1"/>
              <w:left w:val="single" w:color="1F4E79" w:sz="1"/>
              <w:bottom w:val="single" w:color="1F4E79" w:sz="1"/>
              <w:right w:val="single" w:color="1F4E79" w:sz="1"/>
            </w:tcBorders>
            <w:shd w:fill="1F4E79" w:val="clear"/>
            <w:tcMar>
              <w:top w:type="dxa" w:w="100"/>
              <w:left w:type="dxa" w:w="120"/>
              <w:bottom w:type="dxa" w:w="100"/>
              <w:right w:type="dxa" w:w="120"/>
            </w:tcMar>
            <w:vAlign w:val="center"/>
          </w:tcPr>
          <w:p>
            <w:pPr>
              <w:jc w:val="center"/>
            </w:pPr>
            <w:r>
              <w:rPr>
                <w:rFonts w:ascii="Arial" w:cs="Arial" w:eastAsia="Arial" w:hAnsi="Arial"/>
                <w:b/>
                <w:bCs/>
                <w:color w:val="FFFFFF"/>
                <w:sz w:val="20"/>
                <w:szCs w:val="20"/>
              </w:rPr>
              <w:t xml:space="preserve">Description</w:t>
            </w:r>
          </w:p>
        </w:tc>
        <w:tc>
          <w:tcPr>
            <w:tcW w:type="dxa" w:w="3360"/>
            <w:tcBorders>
              <w:top w:val="single" w:color="1F4E79" w:sz="1"/>
              <w:left w:val="single" w:color="1F4E79" w:sz="1"/>
              <w:bottom w:val="single" w:color="1F4E79" w:sz="1"/>
              <w:right w:val="single" w:color="1F4E79" w:sz="1"/>
            </w:tcBorders>
            <w:shd w:fill="1F4E79" w:val="clear"/>
            <w:tcMar>
              <w:top w:type="dxa" w:w="100"/>
              <w:left w:type="dxa" w:w="120"/>
              <w:bottom w:type="dxa" w:w="100"/>
              <w:right w:type="dxa" w:w="120"/>
            </w:tcMar>
            <w:vAlign w:val="center"/>
          </w:tcPr>
          <w:p>
            <w:pPr>
              <w:jc w:val="center"/>
            </w:pPr>
            <w:r>
              <w:rPr>
                <w:rFonts w:ascii="Arial" w:cs="Arial" w:eastAsia="Arial" w:hAnsi="Arial"/>
                <w:b/>
                <w:bCs/>
                <w:color w:val="FFFFFF"/>
                <w:sz w:val="20"/>
                <w:szCs w:val="20"/>
              </w:rPr>
              <w:t xml:space="preserve">Target Metric</w:t>
            </w:r>
          </w:p>
        </w:tc>
      </w:tr>
      <w:tr>
        <w:tc>
          <w:tcPr>
            <w:tcW w:type="dxa" w:w="20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NFR-PERF-001</w:t>
            </w:r>
          </w:p>
        </w:tc>
        <w:tc>
          <w:tcPr>
            <w:tcW w:type="dxa" w:w="40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Transaction processing throughput</w:t>
            </w:r>
          </w:p>
        </w:tc>
        <w:tc>
          <w:tcPr>
            <w:tcW w:type="dxa" w:w="33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 10,000 transactions/second</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NFR-PERF-002</w:t>
            </w:r>
          </w:p>
        </w:tc>
        <w:tc>
          <w:tcPr>
            <w:tcW w:type="dxa" w:w="4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Anomaly detection latency (real-time)</w:t>
            </w:r>
          </w:p>
        </w:tc>
        <w:tc>
          <w:tcPr>
            <w:tcW w:type="dxa" w:w="3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&lt; 3 seconds per transaction</w:t>
            </w:r>
          </w:p>
        </w:tc>
      </w:tr>
      <w:tr>
        <w:tc>
          <w:tcPr>
            <w:tcW w:type="dxa" w:w="20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NFR-PERF-003</w:t>
            </w:r>
          </w:p>
        </w:tc>
        <w:tc>
          <w:tcPr>
            <w:tcW w:type="dxa" w:w="40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Dashboard page load time</w:t>
            </w:r>
          </w:p>
        </w:tc>
        <w:tc>
          <w:tcPr>
            <w:tcW w:type="dxa" w:w="33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&lt; 2 seconds (95th percentile)</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NFR-PERF-004</w:t>
            </w:r>
          </w:p>
        </w:tc>
        <w:tc>
          <w:tcPr>
            <w:tcW w:type="dxa" w:w="4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Report generation time (standard)</w:t>
            </w:r>
          </w:p>
        </w:tc>
        <w:tc>
          <w:tcPr>
            <w:tcW w:type="dxa" w:w="3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&lt; 30 seconds</w:t>
            </w:r>
          </w:p>
        </w:tc>
      </w:tr>
      <w:tr>
        <w:tc>
          <w:tcPr>
            <w:tcW w:type="dxa" w:w="20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NFR-PERF-005</w:t>
            </w:r>
          </w:p>
        </w:tc>
        <w:tc>
          <w:tcPr>
            <w:tcW w:type="dxa" w:w="40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NLP query response time</w:t>
            </w:r>
          </w:p>
        </w:tc>
        <w:tc>
          <w:tcPr>
            <w:tcW w:type="dxa" w:w="33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&lt; 5 seconds</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NFR-PERF-006</w:t>
            </w:r>
          </w:p>
        </w:tc>
        <w:tc>
          <w:tcPr>
            <w:tcW w:type="dxa" w:w="4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Bulk data import (1M records)</w:t>
            </w:r>
          </w:p>
        </w:tc>
        <w:tc>
          <w:tcPr>
            <w:tcW w:type="dxa" w:w="3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&lt; 15 minutes</w:t>
            </w:r>
          </w:p>
        </w:tc>
      </w:tr>
      <w:tr>
        <w:tc>
          <w:tcPr>
            <w:tcW w:type="dxa" w:w="20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NFR-PERF-007</w:t>
            </w:r>
          </w:p>
        </w:tc>
        <w:tc>
          <w:tcPr>
            <w:tcW w:type="dxa" w:w="40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Concurrent user support</w:t>
            </w:r>
          </w:p>
        </w:tc>
        <w:tc>
          <w:tcPr>
            <w:tcW w:type="dxa" w:w="33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 500 simultaneous users</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NFR-PERF-008</w:t>
            </w:r>
          </w:p>
        </w:tc>
        <w:tc>
          <w:tcPr>
            <w:tcW w:type="dxa" w:w="4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Model inference time (per record)</w:t>
            </w:r>
          </w:p>
        </w:tc>
        <w:tc>
          <w:tcPr>
            <w:tcW w:type="dxa" w:w="3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&lt; 100 milliseconds</w:t>
            </w:r>
          </w:p>
        </w:tc>
      </w:tr>
    </w:tbl>
    <w:p>
      <w:pPr>
        <w:spacing w:before="80" w:after="80"/>
      </w:pPr>
      <w:r>
        <w:t xml:space="preserve"/>
      </w:r>
    </w:p>
    <w:p>
      <w:pPr>
        <w:pStyle w:val="Heading2"/>
        <w:spacing w:before="240" w:after="80"/>
      </w:pPr>
      <w:r>
        <w:rPr>
          <w:rFonts w:ascii="Arial" w:cs="Arial" w:eastAsia="Arial" w:hAnsi="Arial"/>
          <w:b/>
          <w:bCs/>
          <w:color w:val="2E75B6"/>
          <w:sz w:val="26"/>
          <w:szCs w:val="26"/>
        </w:rPr>
        <w:t xml:space="preserve">4.2 Reliability and Availability</w:t>
      </w:r>
    </w:p>
    <w:p>
      <w:pPr>
        <w:pStyle w:val="ListParagraph"/>
        <w:numPr>
          <w:ilvl w:val="0"/>
          <w:numId w:val="2"/>
        </w:numPr>
        <w:spacing w:before="40" w:after="40"/>
      </w:pPr>
      <w:r>
        <w:rPr>
          <w:rFonts w:ascii="Arial" w:cs="Arial" w:eastAsia="Arial" w:hAnsi="Arial"/>
          <w:sz w:val="22"/>
          <w:szCs w:val="22"/>
        </w:rPr>
        <w:t xml:space="preserve">NFR-REL-001: System availability shall be ≥ 99.9% uptime (excluding scheduled maintenance).</w:t>
      </w:r>
    </w:p>
    <w:p>
      <w:pPr>
        <w:pStyle w:val="ListParagraph"/>
        <w:numPr>
          <w:ilvl w:val="0"/>
          <w:numId w:val="2"/>
        </w:numPr>
        <w:spacing w:before="40" w:after="40"/>
      </w:pPr>
      <w:r>
        <w:rPr>
          <w:rFonts w:ascii="Arial" w:cs="Arial" w:eastAsia="Arial" w:hAnsi="Arial"/>
          <w:sz w:val="22"/>
          <w:szCs w:val="22"/>
        </w:rPr>
        <w:t xml:space="preserve">NFR-REL-002: Scheduled maintenance windows shall not exceed 4 hours per month and must be performed during off-peak hours.</w:t>
      </w:r>
    </w:p>
    <w:p>
      <w:pPr>
        <w:pStyle w:val="ListParagraph"/>
        <w:numPr>
          <w:ilvl w:val="0"/>
          <w:numId w:val="2"/>
        </w:numPr>
        <w:spacing w:before="40" w:after="40"/>
      </w:pPr>
      <w:r>
        <w:rPr>
          <w:rFonts w:ascii="Arial" w:cs="Arial" w:eastAsia="Arial" w:hAnsi="Arial"/>
          <w:sz w:val="22"/>
          <w:szCs w:val="22"/>
        </w:rPr>
        <w:t xml:space="preserve">NFR-REL-003: Recovery Time Objective (RTO): System shall be fully operational within 1 hour of a major failure.</w:t>
      </w:r>
    </w:p>
    <w:p>
      <w:pPr>
        <w:pStyle w:val="ListParagraph"/>
        <w:numPr>
          <w:ilvl w:val="0"/>
          <w:numId w:val="2"/>
        </w:numPr>
        <w:spacing w:before="40" w:after="40"/>
      </w:pPr>
      <w:r>
        <w:rPr>
          <w:rFonts w:ascii="Arial" w:cs="Arial" w:eastAsia="Arial" w:hAnsi="Arial"/>
          <w:sz w:val="22"/>
          <w:szCs w:val="22"/>
        </w:rPr>
        <w:t xml:space="preserve">NFR-REL-004: Recovery Point Objective (RPO): Maximum acceptable data loss is 15 minutes.</w:t>
      </w:r>
    </w:p>
    <w:p>
      <w:pPr>
        <w:pStyle w:val="ListParagraph"/>
        <w:numPr>
          <w:ilvl w:val="0"/>
          <w:numId w:val="2"/>
        </w:numPr>
        <w:spacing w:before="40" w:after="40"/>
      </w:pPr>
      <w:r>
        <w:rPr>
          <w:rFonts w:ascii="Arial" w:cs="Arial" w:eastAsia="Arial" w:hAnsi="Arial"/>
          <w:sz w:val="22"/>
          <w:szCs w:val="22"/>
        </w:rPr>
        <w:t xml:space="preserve">NFR-REL-005: All critical system components shall have redundant failover capabilities.</w:t>
      </w:r>
    </w:p>
    <w:p>
      <w:pPr>
        <w:spacing w:before="80" w:after="80"/>
      </w:pPr>
      <w:r>
        <w:t xml:space="preserve"/>
      </w:r>
    </w:p>
    <w:p>
      <w:pPr>
        <w:pStyle w:val="Heading2"/>
        <w:spacing w:before="240" w:after="80"/>
      </w:pPr>
      <w:r>
        <w:rPr>
          <w:rFonts w:ascii="Arial" w:cs="Arial" w:eastAsia="Arial" w:hAnsi="Arial"/>
          <w:b/>
          <w:bCs/>
          <w:color w:val="2E75B6"/>
          <w:sz w:val="26"/>
          <w:szCs w:val="26"/>
        </w:rPr>
        <w:t xml:space="preserve">4.3 Scalability</w:t>
      </w:r>
    </w:p>
    <w:p>
      <w:pPr>
        <w:pStyle w:val="ListParagraph"/>
        <w:numPr>
          <w:ilvl w:val="0"/>
          <w:numId w:val="2"/>
        </w:numPr>
        <w:spacing w:before="40" w:after="40"/>
      </w:pPr>
      <w:r>
        <w:rPr>
          <w:rFonts w:ascii="Arial" w:cs="Arial" w:eastAsia="Arial" w:hAnsi="Arial"/>
          <w:sz w:val="22"/>
          <w:szCs w:val="22"/>
        </w:rPr>
        <w:t xml:space="preserve">NFR-SCA-001: The system shall scale horizontally to handle a 10x increase in transaction volume without code changes.</w:t>
      </w:r>
    </w:p>
    <w:p>
      <w:pPr>
        <w:pStyle w:val="ListParagraph"/>
        <w:numPr>
          <w:ilvl w:val="0"/>
          <w:numId w:val="2"/>
        </w:numPr>
        <w:spacing w:before="40" w:after="40"/>
      </w:pPr>
      <w:r>
        <w:rPr>
          <w:rFonts w:ascii="Arial" w:cs="Arial" w:eastAsia="Arial" w:hAnsi="Arial"/>
          <w:sz w:val="22"/>
          <w:szCs w:val="22"/>
        </w:rPr>
        <w:t xml:space="preserve">NFR-SCA-002: Database storage shall support automatic expansion up to 100TB per client instance.</w:t>
      </w:r>
    </w:p>
    <w:p>
      <w:pPr>
        <w:pStyle w:val="ListParagraph"/>
        <w:numPr>
          <w:ilvl w:val="0"/>
          <w:numId w:val="2"/>
        </w:numPr>
        <w:spacing w:before="40" w:after="40"/>
      </w:pPr>
      <w:r>
        <w:rPr>
          <w:rFonts w:ascii="Arial" w:cs="Arial" w:eastAsia="Arial" w:hAnsi="Arial"/>
          <w:sz w:val="22"/>
          <w:szCs w:val="22"/>
        </w:rPr>
        <w:t xml:space="preserve">NFR-SCA-003: ML model serving infrastructure shall auto-scale based on inference load.</w:t>
      </w:r>
    </w:p>
    <w:p>
      <w:pPr>
        <w:pStyle w:val="ListParagraph"/>
        <w:numPr>
          <w:ilvl w:val="0"/>
          <w:numId w:val="2"/>
        </w:numPr>
        <w:spacing w:before="40" w:after="40"/>
      </w:pPr>
      <w:r>
        <w:rPr>
          <w:rFonts w:ascii="Arial" w:cs="Arial" w:eastAsia="Arial" w:hAnsi="Arial"/>
          <w:sz w:val="22"/>
          <w:szCs w:val="22"/>
        </w:rPr>
        <w:t xml:space="preserve">NFR-SCA-004: The system shall support multi-tenancy with full data isolation between organizations.</w:t>
      </w:r>
    </w:p>
    <w:p>
      <w:pPr>
        <w:spacing w:before="80" w:after="80"/>
      </w:pPr>
      <w:r>
        <w:t xml:space="preserve"/>
      </w:r>
    </w:p>
    <w:p>
      <w:pPr>
        <w:pStyle w:val="Heading2"/>
        <w:spacing w:before="240" w:after="80"/>
      </w:pPr>
      <w:r>
        <w:rPr>
          <w:rFonts w:ascii="Arial" w:cs="Arial" w:eastAsia="Arial" w:hAnsi="Arial"/>
          <w:b/>
          <w:bCs/>
          <w:color w:val="2E75B6"/>
          <w:sz w:val="26"/>
          <w:szCs w:val="26"/>
        </w:rPr>
        <w:t xml:space="preserve">4.4 Security Requirements</w:t>
      </w:r>
    </w:p>
    <w:p>
      <w:pPr>
        <w:pStyle w:val="ListParagraph"/>
        <w:numPr>
          <w:ilvl w:val="0"/>
          <w:numId w:val="2"/>
        </w:numPr>
        <w:spacing w:before="40" w:after="40"/>
      </w:pPr>
      <w:r>
        <w:rPr>
          <w:rFonts w:ascii="Arial" w:cs="Arial" w:eastAsia="Arial" w:hAnsi="Arial"/>
          <w:sz w:val="22"/>
          <w:szCs w:val="22"/>
        </w:rPr>
        <w:t xml:space="preserve">NFR-SEC-001: All data at rest shall be encrypted using AES-256.</w:t>
      </w:r>
    </w:p>
    <w:p>
      <w:pPr>
        <w:pStyle w:val="ListParagraph"/>
        <w:numPr>
          <w:ilvl w:val="0"/>
          <w:numId w:val="2"/>
        </w:numPr>
        <w:spacing w:before="40" w:after="40"/>
      </w:pPr>
      <w:r>
        <w:rPr>
          <w:rFonts w:ascii="Arial" w:cs="Arial" w:eastAsia="Arial" w:hAnsi="Arial"/>
          <w:sz w:val="22"/>
          <w:szCs w:val="22"/>
        </w:rPr>
        <w:t xml:space="preserve">NFR-SEC-002: All data in transit shall be encrypted using TLS 1.3 or higher.</w:t>
      </w:r>
    </w:p>
    <w:p>
      <w:pPr>
        <w:pStyle w:val="ListParagraph"/>
        <w:numPr>
          <w:ilvl w:val="0"/>
          <w:numId w:val="2"/>
        </w:numPr>
        <w:spacing w:before="40" w:after="40"/>
      </w:pPr>
      <w:r>
        <w:rPr>
          <w:rFonts w:ascii="Arial" w:cs="Arial" w:eastAsia="Arial" w:hAnsi="Arial"/>
          <w:sz w:val="22"/>
          <w:szCs w:val="22"/>
        </w:rPr>
        <w:t xml:space="preserve">NFR-SEC-003: The system shall pass OWASP Top 10 vulnerability assessment annually.</w:t>
      </w:r>
    </w:p>
    <w:p>
      <w:pPr>
        <w:pStyle w:val="ListParagraph"/>
        <w:numPr>
          <w:ilvl w:val="0"/>
          <w:numId w:val="2"/>
        </w:numPr>
        <w:spacing w:before="40" w:after="40"/>
      </w:pPr>
      <w:r>
        <w:rPr>
          <w:rFonts w:ascii="Arial" w:cs="Arial" w:eastAsia="Arial" w:hAnsi="Arial"/>
          <w:sz w:val="22"/>
          <w:szCs w:val="22"/>
        </w:rPr>
        <w:t xml:space="preserve">NFR-SEC-004: Penetration testing shall be conducted bi-annually by a certified third party.</w:t>
      </w:r>
    </w:p>
    <w:p>
      <w:pPr>
        <w:pStyle w:val="ListParagraph"/>
        <w:numPr>
          <w:ilvl w:val="0"/>
          <w:numId w:val="2"/>
        </w:numPr>
        <w:spacing w:before="40" w:after="40"/>
      </w:pPr>
      <w:r>
        <w:rPr>
          <w:rFonts w:ascii="Arial" w:cs="Arial" w:eastAsia="Arial" w:hAnsi="Arial"/>
          <w:sz w:val="22"/>
          <w:szCs w:val="22"/>
        </w:rPr>
        <w:t xml:space="preserve">NFR-SEC-005: The system shall implement intrusion detection and prevention (IDS/IPS).</w:t>
      </w:r>
    </w:p>
    <w:p>
      <w:pPr>
        <w:pStyle w:val="ListParagraph"/>
        <w:numPr>
          <w:ilvl w:val="0"/>
          <w:numId w:val="2"/>
        </w:numPr>
        <w:spacing w:before="40" w:after="40"/>
      </w:pPr>
      <w:r>
        <w:rPr>
          <w:rFonts w:ascii="Arial" w:cs="Arial" w:eastAsia="Arial" w:hAnsi="Arial"/>
          <w:sz w:val="22"/>
          <w:szCs w:val="22"/>
        </w:rPr>
        <w:t xml:space="preserve">NFR-SEC-006: All cryptographic keys shall be managed using a Hardware Security Module (HSM) or cloud KMS.</w:t>
      </w:r>
    </w:p>
    <w:p>
      <w:pPr>
        <w:pStyle w:val="ListParagraph"/>
        <w:numPr>
          <w:ilvl w:val="0"/>
          <w:numId w:val="2"/>
        </w:numPr>
        <w:spacing w:before="40" w:after="40"/>
      </w:pPr>
      <w:r>
        <w:rPr>
          <w:rFonts w:ascii="Arial" w:cs="Arial" w:eastAsia="Arial" w:hAnsi="Arial"/>
          <w:sz w:val="22"/>
          <w:szCs w:val="22"/>
        </w:rPr>
        <w:t xml:space="preserve">NFR-SEC-007: The system shall automatically lock accounts after 5 failed login attempts.</w:t>
      </w:r>
    </w:p>
    <w:p>
      <w:pPr>
        <w:spacing w:before="80" w:after="80"/>
      </w:pPr>
      <w:r>
        <w:t xml:space="preserve"/>
      </w:r>
    </w:p>
    <w:p>
      <w:pPr>
        <w:pStyle w:val="Heading2"/>
        <w:spacing w:before="240" w:after="80"/>
      </w:pPr>
      <w:r>
        <w:rPr>
          <w:rFonts w:ascii="Arial" w:cs="Arial" w:eastAsia="Arial" w:hAnsi="Arial"/>
          <w:b/>
          <w:bCs/>
          <w:color w:val="2E75B6"/>
          <w:sz w:val="26"/>
          <w:szCs w:val="26"/>
        </w:rPr>
        <w:t xml:space="preserve">4.5 Usability Requirements</w:t>
      </w:r>
    </w:p>
    <w:p>
      <w:pPr>
        <w:pStyle w:val="ListParagraph"/>
        <w:numPr>
          <w:ilvl w:val="0"/>
          <w:numId w:val="2"/>
        </w:numPr>
        <w:spacing w:before="40" w:after="40"/>
      </w:pPr>
      <w:r>
        <w:rPr>
          <w:rFonts w:ascii="Arial" w:cs="Arial" w:eastAsia="Arial" w:hAnsi="Arial"/>
          <w:sz w:val="22"/>
          <w:szCs w:val="22"/>
        </w:rPr>
        <w:t xml:space="preserve">NFR-USE-001: New auditors shall be able to complete core audit tasks after a 4-hour onboarding session.</w:t>
      </w:r>
    </w:p>
    <w:p>
      <w:pPr>
        <w:pStyle w:val="ListParagraph"/>
        <w:numPr>
          <w:ilvl w:val="0"/>
          <w:numId w:val="2"/>
        </w:numPr>
        <w:spacing w:before="40" w:after="40"/>
      </w:pPr>
      <w:r>
        <w:rPr>
          <w:rFonts w:ascii="Arial" w:cs="Arial" w:eastAsia="Arial" w:hAnsi="Arial"/>
          <w:sz w:val="22"/>
          <w:szCs w:val="22"/>
        </w:rPr>
        <w:t xml:space="preserve">NFR-USE-002: The user interface shall achieve a System Usability Scale (SUS) score ≥ 80.</w:t>
      </w:r>
    </w:p>
    <w:p>
      <w:pPr>
        <w:pStyle w:val="ListParagraph"/>
        <w:numPr>
          <w:ilvl w:val="0"/>
          <w:numId w:val="2"/>
        </w:numPr>
        <w:spacing w:before="40" w:after="40"/>
      </w:pPr>
      <w:r>
        <w:rPr>
          <w:rFonts w:ascii="Arial" w:cs="Arial" w:eastAsia="Arial" w:hAnsi="Arial"/>
          <w:sz w:val="22"/>
          <w:szCs w:val="22"/>
        </w:rPr>
        <w:t xml:space="preserve">NFR-USE-003: All AI findings shall include plain-English explanations accessible to non-technical users.</w:t>
      </w:r>
    </w:p>
    <w:p>
      <w:pPr>
        <w:pStyle w:val="ListParagraph"/>
        <w:numPr>
          <w:ilvl w:val="0"/>
          <w:numId w:val="2"/>
        </w:numPr>
        <w:spacing w:before="40" w:after="40"/>
      </w:pPr>
      <w:r>
        <w:rPr>
          <w:rFonts w:ascii="Arial" w:cs="Arial" w:eastAsia="Arial" w:hAnsi="Arial"/>
          <w:sz w:val="22"/>
          <w:szCs w:val="22"/>
        </w:rPr>
        <w:t xml:space="preserve">NFR-USE-004: The system shall support English and Arabic interfaces as minimum; additional languages shall be configurable.</w:t>
      </w:r>
    </w:p>
    <w:p>
      <w:pPr>
        <w:pStyle w:val="ListParagraph"/>
        <w:numPr>
          <w:ilvl w:val="0"/>
          <w:numId w:val="2"/>
        </w:numPr>
        <w:spacing w:before="40" w:after="40"/>
      </w:pPr>
      <w:r>
        <w:rPr>
          <w:rFonts w:ascii="Arial" w:cs="Arial" w:eastAsia="Arial" w:hAnsi="Arial"/>
          <w:sz w:val="22"/>
          <w:szCs w:val="22"/>
        </w:rPr>
        <w:t xml:space="preserve">NFR-USE-005: The system shall comply with WCAG 2.1 Level AA accessibility standards.</w:t>
      </w:r>
    </w:p>
    <w:p>
      <w:pPr>
        <w:spacing w:before="80" w:after="80"/>
      </w:pPr>
      <w:r>
        <w:t xml:space="preserve"/>
      </w:r>
    </w:p>
    <w:p>
      <w:pPr>
        <w:pStyle w:val="Heading2"/>
        <w:spacing w:before="240" w:after="80"/>
      </w:pPr>
      <w:r>
        <w:rPr>
          <w:rFonts w:ascii="Arial" w:cs="Arial" w:eastAsia="Arial" w:hAnsi="Arial"/>
          <w:b/>
          <w:bCs/>
          <w:color w:val="2E75B6"/>
          <w:sz w:val="26"/>
          <w:szCs w:val="26"/>
        </w:rPr>
        <w:t xml:space="preserve">4.6 Maintainability</w:t>
      </w:r>
    </w:p>
    <w:p>
      <w:pPr>
        <w:pStyle w:val="ListParagraph"/>
        <w:numPr>
          <w:ilvl w:val="0"/>
          <w:numId w:val="2"/>
        </w:numPr>
        <w:spacing w:before="40" w:after="40"/>
      </w:pPr>
      <w:r>
        <w:rPr>
          <w:rFonts w:ascii="Arial" w:cs="Arial" w:eastAsia="Arial" w:hAnsi="Arial"/>
          <w:sz w:val="22"/>
          <w:szCs w:val="22"/>
        </w:rPr>
        <w:t xml:space="preserve">NFR-MNT-001: System components shall be modular, enabling replacement of individual modules without full system downtime.</w:t>
      </w:r>
    </w:p>
    <w:p>
      <w:pPr>
        <w:pStyle w:val="ListParagraph"/>
        <w:numPr>
          <w:ilvl w:val="0"/>
          <w:numId w:val="2"/>
        </w:numPr>
        <w:spacing w:before="40" w:after="40"/>
      </w:pPr>
      <w:r>
        <w:rPr>
          <w:rFonts w:ascii="Arial" w:cs="Arial" w:eastAsia="Arial" w:hAnsi="Arial"/>
          <w:sz w:val="22"/>
          <w:szCs w:val="22"/>
        </w:rPr>
        <w:t xml:space="preserve">NFR-MNT-002: AI models shall be updatable without requiring application redeployment.</w:t>
      </w:r>
    </w:p>
    <w:p>
      <w:pPr>
        <w:pStyle w:val="ListParagraph"/>
        <w:numPr>
          <w:ilvl w:val="0"/>
          <w:numId w:val="2"/>
        </w:numPr>
        <w:spacing w:before="40" w:after="40"/>
      </w:pPr>
      <w:r>
        <w:rPr>
          <w:rFonts w:ascii="Arial" w:cs="Arial" w:eastAsia="Arial" w:hAnsi="Arial"/>
          <w:sz w:val="22"/>
          <w:szCs w:val="22"/>
        </w:rPr>
        <w:t xml:space="preserve">NFR-MNT-003: The system shall include automated regression testing covering ≥ 85% code coverage.</w:t>
      </w:r>
    </w:p>
    <w:p>
      <w:pPr>
        <w:pStyle w:val="ListParagraph"/>
        <w:numPr>
          <w:ilvl w:val="0"/>
          <w:numId w:val="2"/>
        </w:numPr>
        <w:spacing w:before="40" w:after="40"/>
      </w:pPr>
      <w:r>
        <w:rPr>
          <w:rFonts w:ascii="Arial" w:cs="Arial" w:eastAsia="Arial" w:hAnsi="Arial"/>
          <w:sz w:val="22"/>
          <w:szCs w:val="22"/>
        </w:rPr>
        <w:t xml:space="preserve">NFR-MNT-004: Full system documentation (API references, data dictionaries, architecture diagrams) shall be maintained and versioned.</w:t>
      </w:r>
    </w:p>
    <w:p>
      <w:pPr>
        <w:spacing w:before="80" w:after="80"/>
      </w:pPr>
      <w:r>
        <w:t xml:space="preserve"/>
      </w:r>
    </w:p>
    <w:p>
      <w:pPr>
        <w:pStyle w:val="Heading2"/>
        <w:spacing w:before="240" w:after="80"/>
      </w:pPr>
      <w:r>
        <w:rPr>
          <w:rFonts w:ascii="Arial" w:cs="Arial" w:eastAsia="Arial" w:hAnsi="Arial"/>
          <w:b/>
          <w:bCs/>
          <w:color w:val="2E75B6"/>
          <w:sz w:val="26"/>
          <w:szCs w:val="26"/>
        </w:rPr>
        <w:t xml:space="preserve">4.7 AI Model Requirements</w:t>
      </w:r>
    </w:p>
    <w:p>
      <w:pPr>
        <w:spacing w:before="8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3000"/>
        <w:gridCol w:w="3560"/>
      </w:tblGrid>
      <w:tr>
        <w:trPr>
          <w:tblHeader/>
        </w:trPr>
        <w:tc>
          <w:tcPr>
            <w:tcW w:type="dxa" w:w="2800"/>
            <w:tcBorders>
              <w:top w:val="single" w:color="1F4E79" w:sz="1"/>
              <w:left w:val="single" w:color="1F4E79" w:sz="1"/>
              <w:bottom w:val="single" w:color="1F4E79" w:sz="1"/>
              <w:right w:val="single" w:color="1F4E79" w:sz="1"/>
            </w:tcBorders>
            <w:shd w:fill="1F4E79" w:val="clear"/>
            <w:tcMar>
              <w:top w:type="dxa" w:w="100"/>
              <w:left w:type="dxa" w:w="120"/>
              <w:bottom w:type="dxa" w:w="100"/>
              <w:right w:type="dxa" w:w="120"/>
            </w:tcMar>
            <w:vAlign w:val="center"/>
          </w:tcPr>
          <w:p>
            <w:pPr>
              <w:jc w:val="center"/>
            </w:pPr>
            <w:r>
              <w:rPr>
                <w:rFonts w:ascii="Arial" w:cs="Arial" w:eastAsia="Arial" w:hAnsi="Arial"/>
                <w:b/>
                <w:bCs/>
                <w:color w:val="FFFFFF"/>
                <w:sz w:val="20"/>
                <w:szCs w:val="20"/>
              </w:rPr>
              <w:t xml:space="preserve">Metric</w:t>
            </w:r>
          </w:p>
        </w:tc>
        <w:tc>
          <w:tcPr>
            <w:tcW w:type="dxa" w:w="3000"/>
            <w:tcBorders>
              <w:top w:val="single" w:color="1F4E79" w:sz="1"/>
              <w:left w:val="single" w:color="1F4E79" w:sz="1"/>
              <w:bottom w:val="single" w:color="1F4E79" w:sz="1"/>
              <w:right w:val="single" w:color="1F4E79" w:sz="1"/>
            </w:tcBorders>
            <w:shd w:fill="1F4E79" w:val="clear"/>
            <w:tcMar>
              <w:top w:type="dxa" w:w="100"/>
              <w:left w:type="dxa" w:w="120"/>
              <w:bottom w:type="dxa" w:w="100"/>
              <w:right w:type="dxa" w:w="120"/>
            </w:tcMar>
            <w:vAlign w:val="center"/>
          </w:tcPr>
          <w:p>
            <w:pPr>
              <w:jc w:val="center"/>
            </w:pPr>
            <w:r>
              <w:rPr>
                <w:rFonts w:ascii="Arial" w:cs="Arial" w:eastAsia="Arial" w:hAnsi="Arial"/>
                <w:b/>
                <w:bCs/>
                <w:color w:val="FFFFFF"/>
                <w:sz w:val="20"/>
                <w:szCs w:val="20"/>
              </w:rPr>
              <w:t xml:space="preserve">Requirement</w:t>
            </w:r>
          </w:p>
        </w:tc>
        <w:tc>
          <w:tcPr>
            <w:tcW w:type="dxa" w:w="3560"/>
            <w:tcBorders>
              <w:top w:val="single" w:color="1F4E79" w:sz="1"/>
              <w:left w:val="single" w:color="1F4E79" w:sz="1"/>
              <w:bottom w:val="single" w:color="1F4E79" w:sz="1"/>
              <w:right w:val="single" w:color="1F4E79" w:sz="1"/>
            </w:tcBorders>
            <w:shd w:fill="1F4E79" w:val="clear"/>
            <w:tcMar>
              <w:top w:type="dxa" w:w="100"/>
              <w:left w:type="dxa" w:w="120"/>
              <w:bottom w:type="dxa" w:w="100"/>
              <w:right w:type="dxa" w:w="120"/>
            </w:tcMar>
            <w:vAlign w:val="center"/>
          </w:tcPr>
          <w:p>
            <w:pPr>
              <w:jc w:val="center"/>
            </w:pPr>
            <w:r>
              <w:rPr>
                <w:rFonts w:ascii="Arial" w:cs="Arial" w:eastAsia="Arial" w:hAnsi="Arial"/>
                <w:b/>
                <w:bCs/>
                <w:color w:val="FFFFFF"/>
                <w:sz w:val="20"/>
                <w:szCs w:val="20"/>
              </w:rPr>
              <w:t xml:space="preserve">Measurement Method</w:t>
            </w:r>
          </w:p>
        </w:tc>
      </w:tr>
      <w:tr>
        <w:tc>
          <w:tcPr>
            <w:tcW w:type="dxa" w:w="28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Anomaly Detection Precision</w:t>
            </w:r>
          </w:p>
        </w:tc>
        <w:tc>
          <w:tcPr>
            <w:tcW w:type="dxa" w:w="30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 85%</w:t>
            </w:r>
          </w:p>
        </w:tc>
        <w:tc>
          <w:tcPr>
            <w:tcW w:type="dxa" w:w="35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Labeled test dataset</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Anomaly Detection Recall</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 90%</w:t>
            </w:r>
          </w:p>
        </w:tc>
        <w:tc>
          <w:tcPr>
            <w:tcW w:type="dxa" w:w="3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Labeled test dataset</w:t>
            </w:r>
          </w:p>
        </w:tc>
      </w:tr>
      <w:tr>
        <w:tc>
          <w:tcPr>
            <w:tcW w:type="dxa" w:w="28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False Positive Rate</w:t>
            </w:r>
          </w:p>
        </w:tc>
        <w:tc>
          <w:tcPr>
            <w:tcW w:type="dxa" w:w="30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 10%</w:t>
            </w:r>
          </w:p>
        </w:tc>
        <w:tc>
          <w:tcPr>
            <w:tcW w:type="dxa" w:w="35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Auditor feedback over 90 days</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Model Explainability</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SHAP values for all predictions</w:t>
            </w:r>
          </w:p>
        </w:tc>
        <w:tc>
          <w:tcPr>
            <w:tcW w:type="dxa" w:w="3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Automated XAI framework</w:t>
            </w:r>
          </w:p>
        </w:tc>
      </w:tr>
      <w:tr>
        <w:tc>
          <w:tcPr>
            <w:tcW w:type="dxa" w:w="28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Bias Assessment</w:t>
            </w:r>
          </w:p>
        </w:tc>
        <w:tc>
          <w:tcPr>
            <w:tcW w:type="dxa" w:w="30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No statistically significant bias by entity type</w:t>
            </w:r>
          </w:p>
        </w:tc>
        <w:tc>
          <w:tcPr>
            <w:tcW w:type="dxa" w:w="35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Fairness audit quarterly</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Model Drift Detection</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Auto-alert if accuracy drops &gt; 5%</w:t>
            </w:r>
          </w:p>
        </w:tc>
        <w:tc>
          <w:tcPr>
            <w:tcW w:type="dxa" w:w="3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Monitoring dashboard</w:t>
            </w:r>
          </w:p>
        </w:tc>
      </w:tr>
    </w:tbl>
    <w:p>
      <w:pPr>
        <w:spacing w:before="80" w:after="80"/>
      </w:pPr>
      <w:r>
        <w:t xml:space="preserve"/>
      </w:r>
    </w:p>
    <w:p>
      <w:pPr>
        <w:pStyle w:val="Heading1"/>
        <w:spacing w:before="360" w:after="120"/>
      </w:pPr>
      <w:r>
        <w:rPr>
          <w:rFonts w:ascii="Arial" w:cs="Arial" w:eastAsia="Arial" w:hAnsi="Arial"/>
          <w:b/>
          <w:bCs/>
          <w:color w:val="1F4E79"/>
          <w:sz w:val="32"/>
          <w:szCs w:val="32"/>
        </w:rPr>
        <w:t xml:space="preserve">5. System Constraints</w:t>
      </w:r>
    </w:p>
    <w:p>
      <w:pPr>
        <w:spacing w:before="60" w:after="100"/>
      </w:pPr>
      <w:r>
        <w:rPr>
          <w:rFonts w:ascii="Arial" w:cs="Arial" w:eastAsia="Arial" w:hAnsi="Arial"/>
          <w:sz w:val="22"/>
          <w:szCs w:val="22"/>
        </w:rPr>
        <w:t xml:space="preserve">The following constraints govern the design and development of AIFAS:</w:t>
      </w:r>
    </w:p>
    <w:p>
      <w:pPr>
        <w:pStyle w:val="ListParagraph"/>
        <w:numPr>
          <w:ilvl w:val="0"/>
          <w:numId w:val="2"/>
        </w:numPr>
        <w:spacing w:before="40" w:after="40"/>
      </w:pPr>
      <w:r>
        <w:rPr>
          <w:rFonts w:ascii="Arial" w:cs="Arial" w:eastAsia="Arial" w:hAnsi="Arial"/>
          <w:sz w:val="22"/>
          <w:szCs w:val="22"/>
        </w:rPr>
        <w:t xml:space="preserve">Regulatory Constraint: The system must maintain compliance with GDPR, SOX Section 302/404, and local financial regulations applicable to the deployment jurisdiction.</w:t>
      </w:r>
    </w:p>
    <w:p>
      <w:pPr>
        <w:pStyle w:val="ListParagraph"/>
        <w:numPr>
          <w:ilvl w:val="0"/>
          <w:numId w:val="2"/>
        </w:numPr>
        <w:spacing w:before="40" w:after="40"/>
      </w:pPr>
      <w:r>
        <w:rPr>
          <w:rFonts w:ascii="Arial" w:cs="Arial" w:eastAsia="Arial" w:hAnsi="Arial"/>
          <w:sz w:val="22"/>
          <w:szCs w:val="22"/>
        </w:rPr>
        <w:t xml:space="preserve">Budget Constraint: The initial development phase must be completed within the allocated budget without scope reduction on core features.</w:t>
      </w:r>
    </w:p>
    <w:p>
      <w:pPr>
        <w:pStyle w:val="ListParagraph"/>
        <w:numPr>
          <w:ilvl w:val="0"/>
          <w:numId w:val="2"/>
        </w:numPr>
        <w:spacing w:before="40" w:after="40"/>
      </w:pPr>
      <w:r>
        <w:rPr>
          <w:rFonts w:ascii="Arial" w:cs="Arial" w:eastAsia="Arial" w:hAnsi="Arial"/>
          <w:sz w:val="22"/>
          <w:szCs w:val="22"/>
        </w:rPr>
        <w:t xml:space="preserve">Technology Constraint: The system must be built on open-standard technologies to avoid vendor lock-in for core components.</w:t>
      </w:r>
    </w:p>
    <w:p>
      <w:pPr>
        <w:pStyle w:val="ListParagraph"/>
        <w:numPr>
          <w:ilvl w:val="0"/>
          <w:numId w:val="2"/>
        </w:numPr>
        <w:spacing w:before="40" w:after="40"/>
      </w:pPr>
      <w:r>
        <w:rPr>
          <w:rFonts w:ascii="Arial" w:cs="Arial" w:eastAsia="Arial" w:hAnsi="Arial"/>
          <w:sz w:val="22"/>
          <w:szCs w:val="22"/>
        </w:rPr>
        <w:t xml:space="preserve">Data Sovereignty Constraint: Financial data shall not cross national borders unless explicitly permitted by the client organization and compliant with local laws.</w:t>
      </w:r>
    </w:p>
    <w:p>
      <w:pPr>
        <w:pStyle w:val="ListParagraph"/>
        <w:numPr>
          <w:ilvl w:val="0"/>
          <w:numId w:val="2"/>
        </w:numPr>
        <w:spacing w:before="40" w:after="40"/>
      </w:pPr>
      <w:r>
        <w:rPr>
          <w:rFonts w:ascii="Arial" w:cs="Arial" w:eastAsia="Arial" w:hAnsi="Arial"/>
          <w:sz w:val="22"/>
          <w:szCs w:val="22"/>
        </w:rPr>
        <w:t xml:space="preserve">Interoperability Constraint: The system must not require modifications to source financial systems for integration.</w:t>
      </w:r>
    </w:p>
    <w:p>
      <w:pPr>
        <w:pStyle w:val="ListParagraph"/>
        <w:numPr>
          <w:ilvl w:val="0"/>
          <w:numId w:val="2"/>
        </w:numPr>
        <w:spacing w:before="40" w:after="40"/>
      </w:pPr>
      <w:r>
        <w:rPr>
          <w:rFonts w:ascii="Arial" w:cs="Arial" w:eastAsia="Arial" w:hAnsi="Arial"/>
          <w:sz w:val="22"/>
          <w:szCs w:val="22"/>
        </w:rPr>
        <w:t xml:space="preserve">Audit Independence Constraint: AIFAS shall not be used to modify source financial data under any circumstances – it is a read-only analytical system.</w:t>
      </w:r>
    </w:p>
    <w:p>
      <w:pPr>
        <w:spacing w:before="80" w:after="80"/>
      </w:pPr>
      <w:r>
        <w:t xml:space="preserve"/>
      </w:r>
    </w:p>
    <w:p>
      <w:pPr>
        <w:pStyle w:val="Heading1"/>
        <w:spacing w:before="360" w:after="120"/>
      </w:pPr>
      <w:r>
        <w:rPr>
          <w:rFonts w:ascii="Arial" w:cs="Arial" w:eastAsia="Arial" w:hAnsi="Arial"/>
          <w:b/>
          <w:bCs/>
          <w:color w:val="1F4E79"/>
          <w:sz w:val="32"/>
          <w:szCs w:val="32"/>
        </w:rPr>
        <w:t xml:space="preserve">6. External Interface Requirements</w:t>
      </w:r>
    </w:p>
    <w:p>
      <w:pPr>
        <w:pStyle w:val="Heading2"/>
        <w:spacing w:before="240" w:after="80"/>
      </w:pPr>
      <w:r>
        <w:rPr>
          <w:rFonts w:ascii="Arial" w:cs="Arial" w:eastAsia="Arial" w:hAnsi="Arial"/>
          <w:b/>
          <w:bCs/>
          <w:color w:val="2E75B6"/>
          <w:sz w:val="26"/>
          <w:szCs w:val="26"/>
        </w:rPr>
        <w:t xml:space="preserve">6.1 User Interfaces</w:t>
      </w:r>
    </w:p>
    <w:p>
      <w:pPr>
        <w:pStyle w:val="ListParagraph"/>
        <w:numPr>
          <w:ilvl w:val="0"/>
          <w:numId w:val="2"/>
        </w:numPr>
        <w:spacing w:before="40" w:after="40"/>
      </w:pPr>
      <w:r>
        <w:rPr>
          <w:rFonts w:ascii="Arial" w:cs="Arial" w:eastAsia="Arial" w:hAnsi="Arial"/>
          <w:sz w:val="22"/>
          <w:szCs w:val="22"/>
        </w:rPr>
        <w:t xml:space="preserve">Web application accessible via HTTPS on standard ports (443).</w:t>
      </w:r>
    </w:p>
    <w:p>
      <w:pPr>
        <w:pStyle w:val="ListParagraph"/>
        <w:numPr>
          <w:ilvl w:val="0"/>
          <w:numId w:val="2"/>
        </w:numPr>
        <w:spacing w:before="40" w:after="40"/>
      </w:pPr>
      <w:r>
        <w:rPr>
          <w:rFonts w:ascii="Arial" w:cs="Arial" w:eastAsia="Arial" w:hAnsi="Arial"/>
          <w:sz w:val="22"/>
          <w:szCs w:val="22"/>
        </w:rPr>
        <w:t xml:space="preserve">Responsive design supporting screen resolutions from 1280x720 to 3840x2160.</w:t>
      </w:r>
    </w:p>
    <w:p>
      <w:pPr>
        <w:pStyle w:val="ListParagraph"/>
        <w:numPr>
          <w:ilvl w:val="0"/>
          <w:numId w:val="2"/>
        </w:numPr>
        <w:spacing w:before="40" w:after="40"/>
      </w:pPr>
      <w:r>
        <w:rPr>
          <w:rFonts w:ascii="Arial" w:cs="Arial" w:eastAsia="Arial" w:hAnsi="Arial"/>
          <w:sz w:val="22"/>
          <w:szCs w:val="22"/>
        </w:rPr>
        <w:t xml:space="preserve">Interactive data tables with sorting, filtering, and pagination.</w:t>
      </w:r>
    </w:p>
    <w:p>
      <w:pPr>
        <w:pStyle w:val="ListParagraph"/>
        <w:numPr>
          <w:ilvl w:val="0"/>
          <w:numId w:val="2"/>
        </w:numPr>
        <w:spacing w:before="40" w:after="40"/>
      </w:pPr>
      <w:r>
        <w:rPr>
          <w:rFonts w:ascii="Arial" w:cs="Arial" w:eastAsia="Arial" w:hAnsi="Arial"/>
          <w:sz w:val="22"/>
          <w:szCs w:val="22"/>
        </w:rPr>
        <w:t xml:space="preserve">Export functionality for all data views (CSV, Excel, PDF).</w:t>
      </w:r>
    </w:p>
    <w:p>
      <w:pPr>
        <w:pStyle w:val="ListParagraph"/>
        <w:numPr>
          <w:ilvl w:val="0"/>
          <w:numId w:val="2"/>
        </w:numPr>
        <w:spacing w:before="40" w:after="40"/>
      </w:pPr>
      <w:r>
        <w:rPr>
          <w:rFonts w:ascii="Arial" w:cs="Arial" w:eastAsia="Arial" w:hAnsi="Arial"/>
          <w:sz w:val="22"/>
          <w:szCs w:val="22"/>
        </w:rPr>
        <w:t xml:space="preserve">Real-time notification center with in-app alert management.</w:t>
      </w:r>
    </w:p>
    <w:p>
      <w:pPr>
        <w:spacing w:before="80" w:after="80"/>
      </w:pPr>
      <w:r>
        <w:t xml:space="preserve"/>
      </w:r>
    </w:p>
    <w:p>
      <w:pPr>
        <w:pStyle w:val="Heading2"/>
        <w:spacing w:before="240" w:after="80"/>
      </w:pPr>
      <w:r>
        <w:rPr>
          <w:rFonts w:ascii="Arial" w:cs="Arial" w:eastAsia="Arial" w:hAnsi="Arial"/>
          <w:b/>
          <w:bCs/>
          <w:color w:val="2E75B6"/>
          <w:sz w:val="26"/>
          <w:szCs w:val="26"/>
        </w:rPr>
        <w:t xml:space="preserve">6.2 Software Interfaces</w:t>
      </w:r>
    </w:p>
    <w:p>
      <w:pPr>
        <w:spacing w:before="8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2000"/>
        <w:gridCol w:w="2500"/>
        <w:gridCol w:w="2860"/>
      </w:tblGrid>
      <w:tr>
        <w:trPr>
          <w:tblHeader/>
        </w:trPr>
        <w:tc>
          <w:tcPr>
            <w:tcW w:type="dxa" w:w="2000"/>
            <w:tcBorders>
              <w:top w:val="single" w:color="1F4E79" w:sz="1"/>
              <w:left w:val="single" w:color="1F4E79" w:sz="1"/>
              <w:bottom w:val="single" w:color="1F4E79" w:sz="1"/>
              <w:right w:val="single" w:color="1F4E79" w:sz="1"/>
            </w:tcBorders>
            <w:shd w:fill="1F4E79" w:val="clear"/>
            <w:tcMar>
              <w:top w:type="dxa" w:w="100"/>
              <w:left w:type="dxa" w:w="120"/>
              <w:bottom w:type="dxa" w:w="100"/>
              <w:right w:type="dxa" w:w="120"/>
            </w:tcMar>
            <w:vAlign w:val="center"/>
          </w:tcPr>
          <w:p>
            <w:pPr>
              <w:jc w:val="center"/>
            </w:pPr>
            <w:r>
              <w:rPr>
                <w:rFonts w:ascii="Arial" w:cs="Arial" w:eastAsia="Arial" w:hAnsi="Arial"/>
                <w:b/>
                <w:bCs/>
                <w:color w:val="FFFFFF"/>
                <w:sz w:val="20"/>
                <w:szCs w:val="20"/>
              </w:rPr>
              <w:t xml:space="preserve">System</w:t>
            </w:r>
          </w:p>
        </w:tc>
        <w:tc>
          <w:tcPr>
            <w:tcW w:type="dxa" w:w="2000"/>
            <w:tcBorders>
              <w:top w:val="single" w:color="1F4E79" w:sz="1"/>
              <w:left w:val="single" w:color="1F4E79" w:sz="1"/>
              <w:bottom w:val="single" w:color="1F4E79" w:sz="1"/>
              <w:right w:val="single" w:color="1F4E79" w:sz="1"/>
            </w:tcBorders>
            <w:shd w:fill="1F4E79" w:val="clear"/>
            <w:tcMar>
              <w:top w:type="dxa" w:w="100"/>
              <w:left w:type="dxa" w:w="120"/>
              <w:bottom w:type="dxa" w:w="100"/>
              <w:right w:type="dxa" w:w="120"/>
            </w:tcMar>
            <w:vAlign w:val="center"/>
          </w:tcPr>
          <w:p>
            <w:pPr>
              <w:jc w:val="center"/>
            </w:pPr>
            <w:r>
              <w:rPr>
                <w:rFonts w:ascii="Arial" w:cs="Arial" w:eastAsia="Arial" w:hAnsi="Arial"/>
                <w:b/>
                <w:bCs/>
                <w:color w:val="FFFFFF"/>
                <w:sz w:val="20"/>
                <w:szCs w:val="20"/>
              </w:rPr>
              <w:t xml:space="preserve">Interface Type</w:t>
            </w:r>
          </w:p>
        </w:tc>
        <w:tc>
          <w:tcPr>
            <w:tcW w:type="dxa" w:w="2500"/>
            <w:tcBorders>
              <w:top w:val="single" w:color="1F4E79" w:sz="1"/>
              <w:left w:val="single" w:color="1F4E79" w:sz="1"/>
              <w:bottom w:val="single" w:color="1F4E79" w:sz="1"/>
              <w:right w:val="single" w:color="1F4E79" w:sz="1"/>
            </w:tcBorders>
            <w:shd w:fill="1F4E79" w:val="clear"/>
            <w:tcMar>
              <w:top w:type="dxa" w:w="100"/>
              <w:left w:type="dxa" w:w="120"/>
              <w:bottom w:type="dxa" w:w="100"/>
              <w:right w:type="dxa" w:w="120"/>
            </w:tcMar>
            <w:vAlign w:val="center"/>
          </w:tcPr>
          <w:p>
            <w:pPr>
              <w:jc w:val="center"/>
            </w:pPr>
            <w:r>
              <w:rPr>
                <w:rFonts w:ascii="Arial" w:cs="Arial" w:eastAsia="Arial" w:hAnsi="Arial"/>
                <w:b/>
                <w:bCs/>
                <w:color w:val="FFFFFF"/>
                <w:sz w:val="20"/>
                <w:szCs w:val="20"/>
              </w:rPr>
              <w:t xml:space="preserve">Protocol / Standard</w:t>
            </w:r>
          </w:p>
        </w:tc>
        <w:tc>
          <w:tcPr>
            <w:tcW w:type="dxa" w:w="2860"/>
            <w:tcBorders>
              <w:top w:val="single" w:color="1F4E79" w:sz="1"/>
              <w:left w:val="single" w:color="1F4E79" w:sz="1"/>
              <w:bottom w:val="single" w:color="1F4E79" w:sz="1"/>
              <w:right w:val="single" w:color="1F4E79" w:sz="1"/>
            </w:tcBorders>
            <w:shd w:fill="1F4E79" w:val="clear"/>
            <w:tcMar>
              <w:top w:type="dxa" w:w="100"/>
              <w:left w:type="dxa" w:w="120"/>
              <w:bottom w:type="dxa" w:w="100"/>
              <w:right w:type="dxa" w:w="120"/>
            </w:tcMar>
            <w:vAlign w:val="center"/>
          </w:tcPr>
          <w:p>
            <w:pPr>
              <w:jc w:val="center"/>
            </w:pPr>
            <w:r>
              <w:rPr>
                <w:rFonts w:ascii="Arial" w:cs="Arial" w:eastAsia="Arial" w:hAnsi="Arial"/>
                <w:b/>
                <w:bCs/>
                <w:color w:val="FFFFFF"/>
                <w:sz w:val="20"/>
                <w:szCs w:val="20"/>
              </w:rPr>
              <w:t xml:space="preserve">Data Format</w:t>
            </w:r>
          </w:p>
        </w:tc>
      </w:tr>
      <w:tr>
        <w:tc>
          <w:tcPr>
            <w:tcW w:type="dxa" w:w="20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SAP ERP</w:t>
            </w:r>
          </w:p>
        </w:tc>
        <w:tc>
          <w:tcPr>
            <w:tcW w:type="dxa" w:w="20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Direct DB / API</w:t>
            </w:r>
          </w:p>
        </w:tc>
        <w:tc>
          <w:tcPr>
            <w:tcW w:type="dxa" w:w="25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RFC / REST</w:t>
            </w:r>
          </w:p>
        </w:tc>
        <w:tc>
          <w:tcPr>
            <w:tcW w:type="dxa" w:w="28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IDoc / JSON</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Oracle Financials</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REST API</w:t>
            </w:r>
          </w:p>
        </w:tc>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HTTPS/REST</w:t>
            </w:r>
          </w:p>
        </w:tc>
        <w:tc>
          <w:tcPr>
            <w:tcW w:type="dxa" w:w="2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JSON</w:t>
            </w:r>
          </w:p>
        </w:tc>
      </w:tr>
      <w:tr>
        <w:tc>
          <w:tcPr>
            <w:tcW w:type="dxa" w:w="20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Microsoft Dynamics 365</w:t>
            </w:r>
          </w:p>
        </w:tc>
        <w:tc>
          <w:tcPr>
            <w:tcW w:type="dxa" w:w="20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REST API</w:t>
            </w:r>
          </w:p>
        </w:tc>
        <w:tc>
          <w:tcPr>
            <w:tcW w:type="dxa" w:w="25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HTTPS/REST</w:t>
            </w:r>
          </w:p>
        </w:tc>
        <w:tc>
          <w:tcPr>
            <w:tcW w:type="dxa" w:w="28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JSON/OData</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QuickBooks Online</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REST API</w:t>
            </w:r>
          </w:p>
        </w:tc>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HTTPS/REST</w:t>
            </w:r>
          </w:p>
        </w:tc>
        <w:tc>
          <w:tcPr>
            <w:tcW w:type="dxa" w:w="2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JSON</w:t>
            </w:r>
          </w:p>
        </w:tc>
      </w:tr>
      <w:tr>
        <w:tc>
          <w:tcPr>
            <w:tcW w:type="dxa" w:w="20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Banking APIs</w:t>
            </w:r>
          </w:p>
        </w:tc>
        <w:tc>
          <w:tcPr>
            <w:tcW w:type="dxa" w:w="20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Open Banking</w:t>
            </w:r>
          </w:p>
        </w:tc>
        <w:tc>
          <w:tcPr>
            <w:tcW w:type="dxa" w:w="25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HTTPS/REST</w:t>
            </w:r>
          </w:p>
        </w:tc>
        <w:tc>
          <w:tcPr>
            <w:tcW w:type="dxa" w:w="28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JSON (ISO 20022)</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Active Directory / LDAP</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Authentication</w:t>
            </w:r>
          </w:p>
        </w:tc>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LDAP/SAML 2.0</w:t>
            </w:r>
          </w:p>
        </w:tc>
        <w:tc>
          <w:tcPr>
            <w:tcW w:type="dxa" w:w="2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XML/JSON</w:t>
            </w:r>
          </w:p>
        </w:tc>
      </w:tr>
      <w:tr>
        <w:tc>
          <w:tcPr>
            <w:tcW w:type="dxa" w:w="20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Email Server</w:t>
            </w:r>
          </w:p>
        </w:tc>
        <w:tc>
          <w:tcPr>
            <w:tcW w:type="dxa" w:w="20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Notifications</w:t>
            </w:r>
          </w:p>
        </w:tc>
        <w:tc>
          <w:tcPr>
            <w:tcW w:type="dxa" w:w="25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SMTP/STARTTLS</w:t>
            </w:r>
          </w:p>
        </w:tc>
        <w:tc>
          <w:tcPr>
            <w:tcW w:type="dxa" w:w="28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MIME</w:t>
            </w:r>
          </w:p>
        </w:tc>
      </w:tr>
    </w:tbl>
    <w:p>
      <w:pPr>
        <w:spacing w:before="80" w:after="80"/>
      </w:pPr>
      <w:r>
        <w:t xml:space="preserve"/>
      </w:r>
    </w:p>
    <w:p>
      <w:pPr>
        <w:pStyle w:val="Heading2"/>
        <w:spacing w:before="240" w:after="80"/>
      </w:pPr>
      <w:r>
        <w:rPr>
          <w:rFonts w:ascii="Arial" w:cs="Arial" w:eastAsia="Arial" w:hAnsi="Arial"/>
          <w:b/>
          <w:bCs/>
          <w:color w:val="2E75B6"/>
          <w:sz w:val="26"/>
          <w:szCs w:val="26"/>
        </w:rPr>
        <w:t xml:space="preserve">6.3 Communication Interfaces</w:t>
      </w:r>
    </w:p>
    <w:p>
      <w:pPr>
        <w:pStyle w:val="ListParagraph"/>
        <w:numPr>
          <w:ilvl w:val="0"/>
          <w:numId w:val="2"/>
        </w:numPr>
        <w:spacing w:before="40" w:after="40"/>
      </w:pPr>
      <w:r>
        <w:rPr>
          <w:rFonts w:ascii="Arial" w:cs="Arial" w:eastAsia="Arial" w:hAnsi="Arial"/>
          <w:sz w:val="22"/>
          <w:szCs w:val="22"/>
        </w:rPr>
        <w:t xml:space="preserve">All external communications shall use TLS 1.3 encrypted connections.</w:t>
      </w:r>
    </w:p>
    <w:p>
      <w:pPr>
        <w:pStyle w:val="ListParagraph"/>
        <w:numPr>
          <w:ilvl w:val="0"/>
          <w:numId w:val="2"/>
        </w:numPr>
        <w:spacing w:before="40" w:after="40"/>
      </w:pPr>
      <w:r>
        <w:rPr>
          <w:rFonts w:ascii="Arial" w:cs="Arial" w:eastAsia="Arial" w:hAnsi="Arial"/>
          <w:sz w:val="22"/>
          <w:szCs w:val="22"/>
        </w:rPr>
        <w:t xml:space="preserve">Webhook support for event-driven integration with third-party systems.</w:t>
      </w:r>
    </w:p>
    <w:p>
      <w:pPr>
        <w:pStyle w:val="ListParagraph"/>
        <w:numPr>
          <w:ilvl w:val="0"/>
          <w:numId w:val="2"/>
        </w:numPr>
        <w:spacing w:before="40" w:after="40"/>
      </w:pPr>
      <w:r>
        <w:rPr>
          <w:rFonts w:ascii="Arial" w:cs="Arial" w:eastAsia="Arial" w:hAnsi="Arial"/>
          <w:sz w:val="22"/>
          <w:szCs w:val="22"/>
        </w:rPr>
        <w:t xml:space="preserve">RESTful API with OpenAPI 3.0 specification for all AIFAS endpoints.</w:t>
      </w:r>
    </w:p>
    <w:p>
      <w:pPr>
        <w:pStyle w:val="ListParagraph"/>
        <w:numPr>
          <w:ilvl w:val="0"/>
          <w:numId w:val="2"/>
        </w:numPr>
        <w:spacing w:before="40" w:after="40"/>
      </w:pPr>
      <w:r>
        <w:rPr>
          <w:rFonts w:ascii="Arial" w:cs="Arial" w:eastAsia="Arial" w:hAnsi="Arial"/>
          <w:sz w:val="22"/>
          <w:szCs w:val="22"/>
        </w:rPr>
        <w:t xml:space="preserve">Message queue integration via Apache Kafka for high-throughput data ingestion.</w:t>
      </w:r>
    </w:p>
    <w:p>
      <w:pPr>
        <w:spacing w:before="80" w:after="80"/>
      </w:pPr>
      <w:r>
        <w:t xml:space="preserve"/>
      </w:r>
    </w:p>
    <w:p>
      <w:pPr>
        <w:pStyle w:val="Heading1"/>
        <w:spacing w:before="360" w:after="120"/>
      </w:pPr>
      <w:r>
        <w:rPr>
          <w:rFonts w:ascii="Arial" w:cs="Arial" w:eastAsia="Arial" w:hAnsi="Arial"/>
          <w:b/>
          <w:bCs/>
          <w:color w:val="1F4E79"/>
          <w:sz w:val="32"/>
          <w:szCs w:val="32"/>
        </w:rPr>
        <w:t xml:space="preserve">7. Security and Compliance Requirements</w:t>
      </w:r>
    </w:p>
    <w:p>
      <w:pPr>
        <w:pStyle w:val="Heading2"/>
        <w:spacing w:before="240" w:after="80"/>
      </w:pPr>
      <w:r>
        <w:rPr>
          <w:rFonts w:ascii="Arial" w:cs="Arial" w:eastAsia="Arial" w:hAnsi="Arial"/>
          <w:b/>
          <w:bCs/>
          <w:color w:val="2E75B6"/>
          <w:sz w:val="26"/>
          <w:szCs w:val="26"/>
        </w:rPr>
        <w:t xml:space="preserve">7.1 Authentication and Authorization</w:t>
      </w:r>
    </w:p>
    <w:p>
      <w:pPr>
        <w:spacing w:before="60" w:after="100"/>
      </w:pPr>
      <w:r>
        <w:rPr>
          <w:rFonts w:ascii="Arial" w:cs="Arial" w:eastAsia="Arial" w:hAnsi="Arial"/>
          <w:sz w:val="22"/>
          <w:szCs w:val="22"/>
        </w:rPr>
        <w:t xml:space="preserve">The system shall implement a defense-in-depth security architecture:</w:t>
      </w:r>
    </w:p>
    <w:p>
      <w:pPr>
        <w:pStyle w:val="ListParagraph"/>
        <w:numPr>
          <w:ilvl w:val="0"/>
          <w:numId w:val="3"/>
        </w:numPr>
        <w:spacing w:before="40" w:after="40"/>
      </w:pPr>
      <w:r>
        <w:rPr>
          <w:rFonts w:ascii="Arial" w:cs="Arial" w:eastAsia="Arial" w:hAnsi="Arial"/>
          <w:sz w:val="22"/>
          <w:szCs w:val="22"/>
        </w:rPr>
        <w:t xml:space="preserve">Multi-Factor Authentication (MFA) mandatory for all user accounts.</w:t>
      </w:r>
    </w:p>
    <w:p>
      <w:pPr>
        <w:pStyle w:val="ListParagraph"/>
        <w:numPr>
          <w:ilvl w:val="0"/>
          <w:numId w:val="3"/>
        </w:numPr>
        <w:spacing w:before="40" w:after="40"/>
      </w:pPr>
      <w:r>
        <w:rPr>
          <w:rFonts w:ascii="Arial" w:cs="Arial" w:eastAsia="Arial" w:hAnsi="Arial"/>
          <w:sz w:val="22"/>
          <w:szCs w:val="22"/>
        </w:rPr>
        <w:t xml:space="preserve">OAuth 2.0 / OIDC for API authentication; JWT tokens with 1-hour expiry.</w:t>
      </w:r>
    </w:p>
    <w:p>
      <w:pPr>
        <w:pStyle w:val="ListParagraph"/>
        <w:numPr>
          <w:ilvl w:val="0"/>
          <w:numId w:val="3"/>
        </w:numPr>
        <w:spacing w:before="40" w:after="40"/>
      </w:pPr>
      <w:r>
        <w:rPr>
          <w:rFonts w:ascii="Arial" w:cs="Arial" w:eastAsia="Arial" w:hAnsi="Arial"/>
          <w:sz w:val="22"/>
          <w:szCs w:val="22"/>
        </w:rPr>
        <w:t xml:space="preserve">RBAC with principle of least privilege – users access only what they need.</w:t>
      </w:r>
    </w:p>
    <w:p>
      <w:pPr>
        <w:pStyle w:val="ListParagraph"/>
        <w:numPr>
          <w:ilvl w:val="0"/>
          <w:numId w:val="3"/>
        </w:numPr>
        <w:spacing w:before="40" w:after="40"/>
      </w:pPr>
      <w:r>
        <w:rPr>
          <w:rFonts w:ascii="Arial" w:cs="Arial" w:eastAsia="Arial" w:hAnsi="Arial"/>
          <w:sz w:val="22"/>
          <w:szCs w:val="22"/>
        </w:rPr>
        <w:t xml:space="preserve">Privileged Access Management (PAM) for administrative accounts.</w:t>
      </w:r>
    </w:p>
    <w:p>
      <w:pPr>
        <w:pStyle w:val="ListParagraph"/>
        <w:numPr>
          <w:ilvl w:val="0"/>
          <w:numId w:val="3"/>
        </w:numPr>
        <w:spacing w:before="40" w:after="40"/>
      </w:pPr>
      <w:r>
        <w:rPr>
          <w:rFonts w:ascii="Arial" w:cs="Arial" w:eastAsia="Arial" w:hAnsi="Arial"/>
          <w:sz w:val="22"/>
          <w:szCs w:val="22"/>
        </w:rPr>
        <w:t xml:space="preserve">Session timeout after 30 minutes of inactivity.</w:t>
      </w:r>
    </w:p>
    <w:p>
      <w:pPr>
        <w:spacing w:before="80" w:after="80"/>
      </w:pPr>
      <w:r>
        <w:t xml:space="preserve"/>
      </w:r>
    </w:p>
    <w:p>
      <w:pPr>
        <w:pStyle w:val="Heading2"/>
        <w:spacing w:before="240" w:after="80"/>
      </w:pPr>
      <w:r>
        <w:rPr>
          <w:rFonts w:ascii="Arial" w:cs="Arial" w:eastAsia="Arial" w:hAnsi="Arial"/>
          <w:b/>
          <w:bCs/>
          <w:color w:val="2E75B6"/>
          <w:sz w:val="26"/>
          <w:szCs w:val="26"/>
        </w:rPr>
        <w:t xml:space="preserve">7.2 Data Privacy</w:t>
      </w:r>
    </w:p>
    <w:p>
      <w:pPr>
        <w:pStyle w:val="ListParagraph"/>
        <w:numPr>
          <w:ilvl w:val="0"/>
          <w:numId w:val="2"/>
        </w:numPr>
        <w:spacing w:before="40" w:after="40"/>
      </w:pPr>
      <w:r>
        <w:rPr>
          <w:rFonts w:ascii="Arial" w:cs="Arial" w:eastAsia="Arial" w:hAnsi="Arial"/>
          <w:sz w:val="22"/>
          <w:szCs w:val="22"/>
        </w:rPr>
        <w:t xml:space="preserve">Personal data processed in accordance with GDPR Article 5 principles.</w:t>
      </w:r>
    </w:p>
    <w:p>
      <w:pPr>
        <w:pStyle w:val="ListParagraph"/>
        <w:numPr>
          <w:ilvl w:val="0"/>
          <w:numId w:val="2"/>
        </w:numPr>
        <w:spacing w:before="40" w:after="40"/>
      </w:pPr>
      <w:r>
        <w:rPr>
          <w:rFonts w:ascii="Arial" w:cs="Arial" w:eastAsia="Arial" w:hAnsi="Arial"/>
          <w:sz w:val="22"/>
          <w:szCs w:val="22"/>
        </w:rPr>
        <w:t xml:space="preserve">Data minimization: only necessary financial fields are ingested and stored.</w:t>
      </w:r>
    </w:p>
    <w:p>
      <w:pPr>
        <w:pStyle w:val="ListParagraph"/>
        <w:numPr>
          <w:ilvl w:val="0"/>
          <w:numId w:val="2"/>
        </w:numPr>
        <w:spacing w:before="40" w:after="40"/>
      </w:pPr>
      <w:r>
        <w:rPr>
          <w:rFonts w:ascii="Arial" w:cs="Arial" w:eastAsia="Arial" w:hAnsi="Arial"/>
          <w:sz w:val="22"/>
          <w:szCs w:val="22"/>
        </w:rPr>
        <w:t xml:space="preserve">Right to erasure: system supports selective data deletion upon authorized request.</w:t>
      </w:r>
    </w:p>
    <w:p>
      <w:pPr>
        <w:pStyle w:val="ListParagraph"/>
        <w:numPr>
          <w:ilvl w:val="0"/>
          <w:numId w:val="2"/>
        </w:numPr>
        <w:spacing w:before="40" w:after="40"/>
      </w:pPr>
      <w:r>
        <w:rPr>
          <w:rFonts w:ascii="Arial" w:cs="Arial" w:eastAsia="Arial" w:hAnsi="Arial"/>
          <w:sz w:val="22"/>
          <w:szCs w:val="22"/>
        </w:rPr>
        <w:t xml:space="preserve">Privacy by design: anonymization and pseudonymization applied where feasible.</w:t>
      </w:r>
    </w:p>
    <w:p>
      <w:pPr>
        <w:spacing w:before="80" w:after="80"/>
      </w:pPr>
      <w:r>
        <w:t xml:space="preserve"/>
      </w:r>
    </w:p>
    <w:p>
      <w:pPr>
        <w:pStyle w:val="Heading2"/>
        <w:spacing w:before="240" w:after="80"/>
      </w:pPr>
      <w:r>
        <w:rPr>
          <w:rFonts w:ascii="Arial" w:cs="Arial" w:eastAsia="Arial" w:hAnsi="Arial"/>
          <w:b/>
          <w:bCs/>
          <w:color w:val="2E75B6"/>
          <w:sz w:val="26"/>
          <w:szCs w:val="26"/>
        </w:rPr>
        <w:t xml:space="preserve">7.3 Audit Trail</w:t>
      </w:r>
    </w:p>
    <w:p>
      <w:pPr>
        <w:spacing w:before="60" w:after="100"/>
      </w:pPr>
      <w:r>
        <w:rPr>
          <w:rFonts w:ascii="Arial" w:cs="Arial" w:eastAsia="Arial" w:hAnsi="Arial"/>
          <w:sz w:val="22"/>
          <w:szCs w:val="22"/>
        </w:rPr>
        <w:t xml:space="preserve">The system shall maintain an immutable audit log capturing:</w:t>
      </w:r>
    </w:p>
    <w:p>
      <w:pPr>
        <w:pStyle w:val="ListParagraph"/>
        <w:numPr>
          <w:ilvl w:val="0"/>
          <w:numId w:val="2"/>
        </w:numPr>
        <w:spacing w:before="40" w:after="40"/>
      </w:pPr>
      <w:r>
        <w:rPr>
          <w:rFonts w:ascii="Arial" w:cs="Arial" w:eastAsia="Arial" w:hAnsi="Arial"/>
          <w:sz w:val="22"/>
          <w:szCs w:val="22"/>
        </w:rPr>
        <w:t xml:space="preserve">All user authentication events (login, logout, failed attempts)</w:t>
      </w:r>
    </w:p>
    <w:p>
      <w:pPr>
        <w:pStyle w:val="ListParagraph"/>
        <w:numPr>
          <w:ilvl w:val="0"/>
          <w:numId w:val="2"/>
        </w:numPr>
        <w:spacing w:before="40" w:after="40"/>
      </w:pPr>
      <w:r>
        <w:rPr>
          <w:rFonts w:ascii="Arial" w:cs="Arial" w:eastAsia="Arial" w:hAnsi="Arial"/>
          <w:sz w:val="22"/>
          <w:szCs w:val="22"/>
        </w:rPr>
        <w:t xml:space="preserve">All data access events (queries, exports, report generation)</w:t>
      </w:r>
    </w:p>
    <w:p>
      <w:pPr>
        <w:pStyle w:val="ListParagraph"/>
        <w:numPr>
          <w:ilvl w:val="0"/>
          <w:numId w:val="2"/>
        </w:numPr>
        <w:spacing w:before="40" w:after="40"/>
      </w:pPr>
      <w:r>
        <w:rPr>
          <w:rFonts w:ascii="Arial" w:cs="Arial" w:eastAsia="Arial" w:hAnsi="Arial"/>
          <w:sz w:val="22"/>
          <w:szCs w:val="22"/>
        </w:rPr>
        <w:t xml:space="preserve">All configuration changes (rule modifications, user management)</w:t>
      </w:r>
    </w:p>
    <w:p>
      <w:pPr>
        <w:pStyle w:val="ListParagraph"/>
        <w:numPr>
          <w:ilvl w:val="0"/>
          <w:numId w:val="2"/>
        </w:numPr>
        <w:spacing w:before="40" w:after="40"/>
      </w:pPr>
      <w:r>
        <w:rPr>
          <w:rFonts w:ascii="Arial" w:cs="Arial" w:eastAsia="Arial" w:hAnsi="Arial"/>
          <w:sz w:val="22"/>
          <w:szCs w:val="22"/>
        </w:rPr>
        <w:t xml:space="preserve">All AI model actions (scores assigned, cases created, alerts fired)</w:t>
      </w:r>
    </w:p>
    <w:p>
      <w:pPr>
        <w:spacing w:before="60" w:after="100"/>
      </w:pPr>
      <w:r>
        <w:rPr>
          <w:rFonts w:ascii="Arial" w:cs="Arial" w:eastAsia="Arial" w:hAnsi="Arial"/>
          <w:sz w:val="22"/>
          <w:szCs w:val="22"/>
        </w:rPr>
        <w:t xml:space="preserve">Audit logs shall be tamper-proof, retained for minimum 7 years, and exportable for regulatory examination.</w:t>
      </w:r>
    </w:p>
    <w:p>
      <w:pPr>
        <w:spacing w:before="80" w:after="80"/>
      </w:pPr>
      <w:r>
        <w:t xml:space="preserve"/>
      </w:r>
    </w:p>
    <w:p>
      <w:pPr>
        <w:pStyle w:val="Heading1"/>
        <w:spacing w:before="360" w:after="120"/>
      </w:pPr>
      <w:r>
        <w:rPr>
          <w:rFonts w:ascii="Arial" w:cs="Arial" w:eastAsia="Arial" w:hAnsi="Arial"/>
          <w:b/>
          <w:bCs/>
          <w:color w:val="1F4E79"/>
          <w:sz w:val="32"/>
          <w:szCs w:val="32"/>
        </w:rPr>
        <w:t xml:space="preserve">8. Verification and Validation Requirements</w:t>
      </w:r>
    </w:p>
    <w:p>
      <w:pPr>
        <w:pStyle w:val="Heading2"/>
        <w:spacing w:before="240" w:after="80"/>
      </w:pPr>
      <w:r>
        <w:rPr>
          <w:rFonts w:ascii="Arial" w:cs="Arial" w:eastAsia="Arial" w:hAnsi="Arial"/>
          <w:b/>
          <w:bCs/>
          <w:color w:val="2E75B6"/>
          <w:sz w:val="26"/>
          <w:szCs w:val="26"/>
        </w:rPr>
        <w:t xml:space="preserve">8.1 Testing Requirements</w:t>
      </w:r>
    </w:p>
    <w:p>
      <w:pPr>
        <w:spacing w:before="8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3000"/>
        <w:gridCol w:w="4360"/>
      </w:tblGrid>
      <w:tr>
        <w:trPr>
          <w:tblHeader/>
        </w:trPr>
        <w:tc>
          <w:tcPr>
            <w:tcW w:type="dxa" w:w="2000"/>
            <w:tcBorders>
              <w:top w:val="single" w:color="1F4E79" w:sz="1"/>
              <w:left w:val="single" w:color="1F4E79" w:sz="1"/>
              <w:bottom w:val="single" w:color="1F4E79" w:sz="1"/>
              <w:right w:val="single" w:color="1F4E79" w:sz="1"/>
            </w:tcBorders>
            <w:shd w:fill="1F4E79" w:val="clear"/>
            <w:tcMar>
              <w:top w:type="dxa" w:w="100"/>
              <w:left w:type="dxa" w:w="120"/>
              <w:bottom w:type="dxa" w:w="100"/>
              <w:right w:type="dxa" w:w="120"/>
            </w:tcMar>
            <w:vAlign w:val="center"/>
          </w:tcPr>
          <w:p>
            <w:pPr>
              <w:jc w:val="center"/>
            </w:pPr>
            <w:r>
              <w:rPr>
                <w:rFonts w:ascii="Arial" w:cs="Arial" w:eastAsia="Arial" w:hAnsi="Arial"/>
                <w:b/>
                <w:bCs/>
                <w:color w:val="FFFFFF"/>
                <w:sz w:val="20"/>
                <w:szCs w:val="20"/>
              </w:rPr>
              <w:t xml:space="preserve">Test Type</w:t>
            </w:r>
          </w:p>
        </w:tc>
        <w:tc>
          <w:tcPr>
            <w:tcW w:type="dxa" w:w="3000"/>
            <w:tcBorders>
              <w:top w:val="single" w:color="1F4E79" w:sz="1"/>
              <w:left w:val="single" w:color="1F4E79" w:sz="1"/>
              <w:bottom w:val="single" w:color="1F4E79" w:sz="1"/>
              <w:right w:val="single" w:color="1F4E79" w:sz="1"/>
            </w:tcBorders>
            <w:shd w:fill="1F4E79" w:val="clear"/>
            <w:tcMar>
              <w:top w:type="dxa" w:w="100"/>
              <w:left w:type="dxa" w:w="120"/>
              <w:bottom w:type="dxa" w:w="100"/>
              <w:right w:type="dxa" w:w="120"/>
            </w:tcMar>
            <w:vAlign w:val="center"/>
          </w:tcPr>
          <w:p>
            <w:pPr>
              <w:jc w:val="center"/>
            </w:pPr>
            <w:r>
              <w:rPr>
                <w:rFonts w:ascii="Arial" w:cs="Arial" w:eastAsia="Arial" w:hAnsi="Arial"/>
                <w:b/>
                <w:bCs/>
                <w:color w:val="FFFFFF"/>
                <w:sz w:val="20"/>
                <w:szCs w:val="20"/>
              </w:rPr>
              <w:t xml:space="preserve">Description</w:t>
            </w:r>
          </w:p>
        </w:tc>
        <w:tc>
          <w:tcPr>
            <w:tcW w:type="dxa" w:w="4360"/>
            <w:tcBorders>
              <w:top w:val="single" w:color="1F4E79" w:sz="1"/>
              <w:left w:val="single" w:color="1F4E79" w:sz="1"/>
              <w:bottom w:val="single" w:color="1F4E79" w:sz="1"/>
              <w:right w:val="single" w:color="1F4E79" w:sz="1"/>
            </w:tcBorders>
            <w:shd w:fill="1F4E79" w:val="clear"/>
            <w:tcMar>
              <w:top w:type="dxa" w:w="100"/>
              <w:left w:type="dxa" w:w="120"/>
              <w:bottom w:type="dxa" w:w="100"/>
              <w:right w:type="dxa" w:w="120"/>
            </w:tcMar>
            <w:vAlign w:val="center"/>
          </w:tcPr>
          <w:p>
            <w:pPr>
              <w:jc w:val="center"/>
            </w:pPr>
            <w:r>
              <w:rPr>
                <w:rFonts w:ascii="Arial" w:cs="Arial" w:eastAsia="Arial" w:hAnsi="Arial"/>
                <w:b/>
                <w:bCs/>
                <w:color w:val="FFFFFF"/>
                <w:sz w:val="20"/>
                <w:szCs w:val="20"/>
              </w:rPr>
              <w:t xml:space="preserve">Acceptance Criteria</w:t>
            </w:r>
          </w:p>
        </w:tc>
      </w:tr>
      <w:tr>
        <w:tc>
          <w:tcPr>
            <w:tcW w:type="dxa" w:w="20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Unit Testing</w:t>
            </w:r>
          </w:p>
        </w:tc>
        <w:tc>
          <w:tcPr>
            <w:tcW w:type="dxa" w:w="30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Individual component testing</w:t>
            </w:r>
          </w:p>
        </w:tc>
        <w:tc>
          <w:tcPr>
            <w:tcW w:type="dxa" w:w="43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 85% code coverage</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Integration Testing</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End-to-end data flow validation</w:t>
            </w:r>
          </w:p>
        </w:tc>
        <w:tc>
          <w:tcPr>
            <w:tcW w:type="dxa" w:w="4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All integration scenarios pass</w:t>
            </w:r>
          </w:p>
        </w:tc>
      </w:tr>
      <w:tr>
        <w:tc>
          <w:tcPr>
            <w:tcW w:type="dxa" w:w="20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Performance Testing</w:t>
            </w:r>
          </w:p>
        </w:tc>
        <w:tc>
          <w:tcPr>
            <w:tcW w:type="dxa" w:w="30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Load, stress, and volume tests</w:t>
            </w:r>
          </w:p>
        </w:tc>
        <w:tc>
          <w:tcPr>
            <w:tcW w:type="dxa" w:w="43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All NFR targets met under 2x load</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Security Testing</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Penetration testing, OWASP checks</w:t>
            </w:r>
          </w:p>
        </w:tc>
        <w:tc>
          <w:tcPr>
            <w:tcW w:type="dxa" w:w="4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No critical or high vulnerabilities</w:t>
            </w:r>
          </w:p>
        </w:tc>
      </w:tr>
      <w:tr>
        <w:tc>
          <w:tcPr>
            <w:tcW w:type="dxa" w:w="20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ML Model Testing</w:t>
            </w:r>
          </w:p>
        </w:tc>
        <w:tc>
          <w:tcPr>
            <w:tcW w:type="dxa" w:w="30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Accuracy, precision, recall validation</w:t>
            </w:r>
          </w:p>
        </w:tc>
        <w:tc>
          <w:tcPr>
            <w:tcW w:type="dxa" w:w="43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All AI metrics from Section 4.7 met</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User Acceptance Testing</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Auditor validation in staging environment</w:t>
            </w:r>
          </w:p>
        </w:tc>
        <w:tc>
          <w:tcPr>
            <w:tcW w:type="dxa" w:w="4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 95% test cases approved</w:t>
            </w:r>
          </w:p>
        </w:tc>
      </w:tr>
      <w:tr>
        <w:tc>
          <w:tcPr>
            <w:tcW w:type="dxa" w:w="20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Regression Testing</w:t>
            </w:r>
          </w:p>
        </w:tc>
        <w:tc>
          <w:tcPr>
            <w:tcW w:type="dxa" w:w="30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Automated suite on each release</w:t>
            </w:r>
          </w:p>
        </w:tc>
        <w:tc>
          <w:tcPr>
            <w:tcW w:type="dxa" w:w="43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Zero regressions from prior release</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Compliance Testing</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Regulatory rule verification</w:t>
            </w:r>
          </w:p>
        </w:tc>
        <w:tc>
          <w:tcPr>
            <w:tcW w:type="dxa" w:w="4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100% of compliance rules validated</w:t>
            </w:r>
          </w:p>
        </w:tc>
      </w:tr>
    </w:tbl>
    <w:p>
      <w:pPr>
        <w:spacing w:before="80" w:after="80"/>
      </w:pPr>
      <w:r>
        <w:t xml:space="preserve"/>
      </w:r>
    </w:p>
    <w:p>
      <w:pPr>
        <w:pStyle w:val="Heading2"/>
        <w:spacing w:before="240" w:after="80"/>
      </w:pPr>
      <w:r>
        <w:rPr>
          <w:rFonts w:ascii="Arial" w:cs="Arial" w:eastAsia="Arial" w:hAnsi="Arial"/>
          <w:b/>
          <w:bCs/>
          <w:color w:val="2E75B6"/>
          <w:sz w:val="26"/>
          <w:szCs w:val="26"/>
        </w:rPr>
        <w:t xml:space="preserve">8.2 Acceptance Criteria</w:t>
      </w:r>
    </w:p>
    <w:p>
      <w:pPr>
        <w:spacing w:before="60" w:after="100"/>
      </w:pPr>
      <w:r>
        <w:rPr>
          <w:rFonts w:ascii="Arial" w:cs="Arial" w:eastAsia="Arial" w:hAnsi="Arial"/>
          <w:sz w:val="22"/>
          <w:szCs w:val="22"/>
        </w:rPr>
        <w:t xml:space="preserve">The system will be accepted for production deployment when all of the following conditions are met:</w:t>
      </w:r>
    </w:p>
    <w:p>
      <w:pPr>
        <w:pStyle w:val="ListParagraph"/>
        <w:numPr>
          <w:ilvl w:val="0"/>
          <w:numId w:val="3"/>
        </w:numPr>
        <w:spacing w:before="40" w:after="40"/>
      </w:pPr>
      <w:r>
        <w:rPr>
          <w:rFonts w:ascii="Arial" w:cs="Arial" w:eastAsia="Arial" w:hAnsi="Arial"/>
          <w:sz w:val="22"/>
          <w:szCs w:val="22"/>
        </w:rPr>
        <w:t xml:space="preserve">All Severity-1 (critical) and Severity-2 (high) defects are resolved and closed.</w:t>
      </w:r>
    </w:p>
    <w:p>
      <w:pPr>
        <w:pStyle w:val="ListParagraph"/>
        <w:numPr>
          <w:ilvl w:val="0"/>
          <w:numId w:val="3"/>
        </w:numPr>
        <w:spacing w:before="40" w:after="40"/>
      </w:pPr>
      <w:r>
        <w:rPr>
          <w:rFonts w:ascii="Arial" w:cs="Arial" w:eastAsia="Arial" w:hAnsi="Arial"/>
          <w:sz w:val="22"/>
          <w:szCs w:val="22"/>
        </w:rPr>
        <w:t xml:space="preserve">UAT sign-off obtained from at least three representative users from each user class.</w:t>
      </w:r>
    </w:p>
    <w:p>
      <w:pPr>
        <w:pStyle w:val="ListParagraph"/>
        <w:numPr>
          <w:ilvl w:val="0"/>
          <w:numId w:val="3"/>
        </w:numPr>
        <w:spacing w:before="40" w:after="40"/>
      </w:pPr>
      <w:r>
        <w:rPr>
          <w:rFonts w:ascii="Arial" w:cs="Arial" w:eastAsia="Arial" w:hAnsi="Arial"/>
          <w:sz w:val="22"/>
          <w:szCs w:val="22"/>
        </w:rPr>
        <w:t xml:space="preserve">All functional requirements in Section 3 pass automated test validation.</w:t>
      </w:r>
    </w:p>
    <w:p>
      <w:pPr>
        <w:pStyle w:val="ListParagraph"/>
        <w:numPr>
          <w:ilvl w:val="0"/>
          <w:numId w:val="3"/>
        </w:numPr>
        <w:spacing w:before="40" w:after="40"/>
      </w:pPr>
      <w:r>
        <w:rPr>
          <w:rFonts w:ascii="Arial" w:cs="Arial" w:eastAsia="Arial" w:hAnsi="Arial"/>
          <w:sz w:val="22"/>
          <w:szCs w:val="22"/>
        </w:rPr>
        <w:t xml:space="preserve">All non-functional requirements in Section 4 are demonstrated in load testing.</w:t>
      </w:r>
    </w:p>
    <w:p>
      <w:pPr>
        <w:pStyle w:val="ListParagraph"/>
        <w:numPr>
          <w:ilvl w:val="0"/>
          <w:numId w:val="3"/>
        </w:numPr>
        <w:spacing w:before="40" w:after="40"/>
      </w:pPr>
      <w:r>
        <w:rPr>
          <w:rFonts w:ascii="Arial" w:cs="Arial" w:eastAsia="Arial" w:hAnsi="Arial"/>
          <w:sz w:val="22"/>
          <w:szCs w:val="22"/>
        </w:rPr>
        <w:t xml:space="preserve">Security penetration test completed with no critical findings unresolved.</w:t>
      </w:r>
    </w:p>
    <w:p>
      <w:pPr>
        <w:pStyle w:val="ListParagraph"/>
        <w:numPr>
          <w:ilvl w:val="0"/>
          <w:numId w:val="3"/>
        </w:numPr>
        <w:spacing w:before="40" w:after="40"/>
      </w:pPr>
      <w:r>
        <w:rPr>
          <w:rFonts w:ascii="Arial" w:cs="Arial" w:eastAsia="Arial" w:hAnsi="Arial"/>
          <w:sz w:val="22"/>
          <w:szCs w:val="22"/>
        </w:rPr>
        <w:t xml:space="preserve">AI model accuracy validated against a holdout test dataset of ≥ 10,000 labeled records.</w:t>
      </w:r>
    </w:p>
    <w:p>
      <w:pPr>
        <w:pStyle w:val="ListParagraph"/>
        <w:numPr>
          <w:ilvl w:val="0"/>
          <w:numId w:val="3"/>
        </w:numPr>
        <w:spacing w:before="40" w:after="40"/>
      </w:pPr>
      <w:r>
        <w:rPr>
          <w:rFonts w:ascii="Arial" w:cs="Arial" w:eastAsia="Arial" w:hAnsi="Arial"/>
          <w:sz w:val="22"/>
          <w:szCs w:val="22"/>
        </w:rPr>
        <w:t xml:space="preserve">Full system documentation reviewed and approved by the project steering committee.</w:t>
      </w:r>
    </w:p>
    <w:p>
      <w:pPr>
        <w:spacing w:before="80" w:after="80"/>
      </w:pPr>
      <w:r>
        <w:t xml:space="preserve"/>
      </w:r>
    </w:p>
    <w:p>
      <w:pPr>
        <w:pStyle w:val="Heading1"/>
        <w:spacing w:before="360" w:after="120"/>
      </w:pPr>
      <w:r>
        <w:rPr>
          <w:rFonts w:ascii="Arial" w:cs="Arial" w:eastAsia="Arial" w:hAnsi="Arial"/>
          <w:b/>
          <w:bCs/>
          <w:color w:val="1F4E79"/>
          <w:sz w:val="32"/>
          <w:szCs w:val="32"/>
        </w:rPr>
        <w:t xml:space="preserve">9. Appendices</w:t>
      </w:r>
    </w:p>
    <w:p>
      <w:pPr>
        <w:pStyle w:val="Heading2"/>
        <w:spacing w:before="240" w:after="80"/>
      </w:pPr>
      <w:r>
        <w:rPr>
          <w:rFonts w:ascii="Arial" w:cs="Arial" w:eastAsia="Arial" w:hAnsi="Arial"/>
          <w:b/>
          <w:bCs/>
          <w:color w:val="2E75B6"/>
          <w:sz w:val="26"/>
          <w:szCs w:val="26"/>
        </w:rPr>
        <w:t xml:space="preserve">Appendix A: Use Case Summary</w:t>
      </w:r>
    </w:p>
    <w:p>
      <w:pPr>
        <w:spacing w:before="8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3000"/>
        <w:gridCol w:w="2400"/>
        <w:gridCol w:w="2160"/>
      </w:tblGrid>
      <w:tr>
        <w:trPr>
          <w:tblHeader/>
        </w:trPr>
        <w:tc>
          <w:tcPr>
            <w:tcW w:type="dxa" w:w="1800"/>
            <w:tcBorders>
              <w:top w:val="single" w:color="1F4E79" w:sz="1"/>
              <w:left w:val="single" w:color="1F4E79" w:sz="1"/>
              <w:bottom w:val="single" w:color="1F4E79" w:sz="1"/>
              <w:right w:val="single" w:color="1F4E79" w:sz="1"/>
            </w:tcBorders>
            <w:shd w:fill="1F4E79" w:val="clear"/>
            <w:tcMar>
              <w:top w:type="dxa" w:w="100"/>
              <w:left w:type="dxa" w:w="120"/>
              <w:bottom w:type="dxa" w:w="100"/>
              <w:right w:type="dxa" w:w="120"/>
            </w:tcMar>
            <w:vAlign w:val="center"/>
          </w:tcPr>
          <w:p>
            <w:pPr>
              <w:jc w:val="center"/>
            </w:pPr>
            <w:r>
              <w:rPr>
                <w:rFonts w:ascii="Arial" w:cs="Arial" w:eastAsia="Arial" w:hAnsi="Arial"/>
                <w:b/>
                <w:bCs/>
                <w:color w:val="FFFFFF"/>
                <w:sz w:val="20"/>
                <w:szCs w:val="20"/>
              </w:rPr>
              <w:t xml:space="preserve">Use Case ID</w:t>
            </w:r>
          </w:p>
        </w:tc>
        <w:tc>
          <w:tcPr>
            <w:tcW w:type="dxa" w:w="3000"/>
            <w:tcBorders>
              <w:top w:val="single" w:color="1F4E79" w:sz="1"/>
              <w:left w:val="single" w:color="1F4E79" w:sz="1"/>
              <w:bottom w:val="single" w:color="1F4E79" w:sz="1"/>
              <w:right w:val="single" w:color="1F4E79" w:sz="1"/>
            </w:tcBorders>
            <w:shd w:fill="1F4E79" w:val="clear"/>
            <w:tcMar>
              <w:top w:type="dxa" w:w="100"/>
              <w:left w:type="dxa" w:w="120"/>
              <w:bottom w:type="dxa" w:w="100"/>
              <w:right w:type="dxa" w:w="120"/>
            </w:tcMar>
            <w:vAlign w:val="center"/>
          </w:tcPr>
          <w:p>
            <w:pPr>
              <w:jc w:val="center"/>
            </w:pPr>
            <w:r>
              <w:rPr>
                <w:rFonts w:ascii="Arial" w:cs="Arial" w:eastAsia="Arial" w:hAnsi="Arial"/>
                <w:b/>
                <w:bCs/>
                <w:color w:val="FFFFFF"/>
                <w:sz w:val="20"/>
                <w:szCs w:val="20"/>
              </w:rPr>
              <w:t xml:space="preserve">Use Case Name</w:t>
            </w:r>
          </w:p>
        </w:tc>
        <w:tc>
          <w:tcPr>
            <w:tcW w:type="dxa" w:w="2400"/>
            <w:tcBorders>
              <w:top w:val="single" w:color="1F4E79" w:sz="1"/>
              <w:left w:val="single" w:color="1F4E79" w:sz="1"/>
              <w:bottom w:val="single" w:color="1F4E79" w:sz="1"/>
              <w:right w:val="single" w:color="1F4E79" w:sz="1"/>
            </w:tcBorders>
            <w:shd w:fill="1F4E79" w:val="clear"/>
            <w:tcMar>
              <w:top w:type="dxa" w:w="100"/>
              <w:left w:type="dxa" w:w="120"/>
              <w:bottom w:type="dxa" w:w="100"/>
              <w:right w:type="dxa" w:w="120"/>
            </w:tcMar>
            <w:vAlign w:val="center"/>
          </w:tcPr>
          <w:p>
            <w:pPr>
              <w:jc w:val="center"/>
            </w:pPr>
            <w:r>
              <w:rPr>
                <w:rFonts w:ascii="Arial" w:cs="Arial" w:eastAsia="Arial" w:hAnsi="Arial"/>
                <w:b/>
                <w:bCs/>
                <w:color w:val="FFFFFF"/>
                <w:sz w:val="20"/>
                <w:szCs w:val="20"/>
              </w:rPr>
              <w:t xml:space="preserve">Primary Actor</w:t>
            </w:r>
          </w:p>
        </w:tc>
        <w:tc>
          <w:tcPr>
            <w:tcW w:type="dxa" w:w="2160"/>
            <w:tcBorders>
              <w:top w:val="single" w:color="1F4E79" w:sz="1"/>
              <w:left w:val="single" w:color="1F4E79" w:sz="1"/>
              <w:bottom w:val="single" w:color="1F4E79" w:sz="1"/>
              <w:right w:val="single" w:color="1F4E79" w:sz="1"/>
            </w:tcBorders>
            <w:shd w:fill="1F4E79" w:val="clear"/>
            <w:tcMar>
              <w:top w:type="dxa" w:w="100"/>
              <w:left w:type="dxa" w:w="120"/>
              <w:bottom w:type="dxa" w:w="100"/>
              <w:right w:type="dxa" w:w="120"/>
            </w:tcMar>
            <w:vAlign w:val="center"/>
          </w:tcPr>
          <w:p>
            <w:pPr>
              <w:jc w:val="center"/>
            </w:pPr>
            <w:r>
              <w:rPr>
                <w:rFonts w:ascii="Arial" w:cs="Arial" w:eastAsia="Arial" w:hAnsi="Arial"/>
                <w:b/>
                <w:bCs/>
                <w:color w:val="FFFFFF"/>
                <w:sz w:val="20"/>
                <w:szCs w:val="20"/>
              </w:rPr>
              <w:t xml:space="preserve">Priority</w:t>
            </w:r>
          </w:p>
        </w:tc>
      </w:tr>
      <w:tr>
        <w:tc>
          <w:tcPr>
            <w:tcW w:type="dxa" w:w="18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UC-001</w:t>
            </w:r>
          </w:p>
        </w:tc>
        <w:tc>
          <w:tcPr>
            <w:tcW w:type="dxa" w:w="30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Import Financial Transactions</w:t>
            </w:r>
          </w:p>
        </w:tc>
        <w:tc>
          <w:tcPr>
            <w:tcW w:type="dxa" w:w="24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System / IT Admin</w:t>
            </w:r>
          </w:p>
        </w:tc>
        <w:tc>
          <w:tcPr>
            <w:tcW w:type="dxa" w:w="21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High</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UC-002</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Run AI Anomaly Detection Scan</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Senior Auditor</w:t>
            </w:r>
          </w:p>
        </w:tc>
        <w:tc>
          <w:tcPr>
            <w:tcW w:type="dxa" w:w="2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High</w:t>
            </w:r>
          </w:p>
        </w:tc>
      </w:tr>
      <w:tr>
        <w:tc>
          <w:tcPr>
            <w:tcW w:type="dxa" w:w="18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UC-003</w:t>
            </w:r>
          </w:p>
        </w:tc>
        <w:tc>
          <w:tcPr>
            <w:tcW w:type="dxa" w:w="30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Review Flagged Anomalies</w:t>
            </w:r>
          </w:p>
        </w:tc>
        <w:tc>
          <w:tcPr>
            <w:tcW w:type="dxa" w:w="24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Auditor</w:t>
            </w:r>
          </w:p>
        </w:tc>
        <w:tc>
          <w:tcPr>
            <w:tcW w:type="dxa" w:w="21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High</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UC-004</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Investigate Fraud Alert</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Senior Auditor</w:t>
            </w:r>
          </w:p>
        </w:tc>
        <w:tc>
          <w:tcPr>
            <w:tcW w:type="dxa" w:w="2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High</w:t>
            </w:r>
          </w:p>
        </w:tc>
      </w:tr>
      <w:tr>
        <w:tc>
          <w:tcPr>
            <w:tcW w:type="dxa" w:w="18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UC-005</w:t>
            </w:r>
          </w:p>
        </w:tc>
        <w:tc>
          <w:tcPr>
            <w:tcW w:type="dxa" w:w="30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Generate Audit Report</w:t>
            </w:r>
          </w:p>
        </w:tc>
        <w:tc>
          <w:tcPr>
            <w:tcW w:type="dxa" w:w="24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Auditor / CAO</w:t>
            </w:r>
          </w:p>
        </w:tc>
        <w:tc>
          <w:tcPr>
            <w:tcW w:type="dxa" w:w="21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High</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UC-006</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Execute NLP Query</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Auditor</w:t>
            </w:r>
          </w:p>
        </w:tc>
        <w:tc>
          <w:tcPr>
            <w:tcW w:type="dxa" w:w="2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Medium</w:t>
            </w:r>
          </w:p>
        </w:tc>
      </w:tr>
      <w:tr>
        <w:tc>
          <w:tcPr>
            <w:tcW w:type="dxa" w:w="18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UC-007</w:t>
            </w:r>
          </w:p>
        </w:tc>
        <w:tc>
          <w:tcPr>
            <w:tcW w:type="dxa" w:w="30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Configure Compliance Rules</w:t>
            </w:r>
          </w:p>
        </w:tc>
        <w:tc>
          <w:tcPr>
            <w:tcW w:type="dxa" w:w="24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IT Admin</w:t>
            </w:r>
          </w:p>
        </w:tc>
        <w:tc>
          <w:tcPr>
            <w:tcW w:type="dxa" w:w="21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Medium</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UC-008</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Manage Audit Cases</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Senior Auditor</w:t>
            </w:r>
          </w:p>
        </w:tc>
        <w:tc>
          <w:tcPr>
            <w:tcW w:type="dxa" w:w="2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High</w:t>
            </w:r>
          </w:p>
        </w:tc>
      </w:tr>
      <w:tr>
        <w:tc>
          <w:tcPr>
            <w:tcW w:type="dxa" w:w="18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UC-009</w:t>
            </w:r>
          </w:p>
        </w:tc>
        <w:tc>
          <w:tcPr>
            <w:tcW w:type="dxa" w:w="30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View Real-Time Dashboard</w:t>
            </w:r>
          </w:p>
        </w:tc>
        <w:tc>
          <w:tcPr>
            <w:tcW w:type="dxa" w:w="24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CAO / Manager</w:t>
            </w:r>
          </w:p>
        </w:tc>
        <w:tc>
          <w:tcPr>
            <w:tcW w:type="dxa" w:w="21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Medium</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UC-010</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Retrain AI Models</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IT Admin / Data Scientist</w:t>
            </w:r>
          </w:p>
        </w:tc>
        <w:tc>
          <w:tcPr>
            <w:tcW w:type="dxa" w:w="2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Low</w:t>
            </w:r>
          </w:p>
        </w:tc>
      </w:tr>
      <w:tr>
        <w:tc>
          <w:tcPr>
            <w:tcW w:type="dxa" w:w="18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UC-011</w:t>
            </w:r>
          </w:p>
        </w:tc>
        <w:tc>
          <w:tcPr>
            <w:tcW w:type="dxa" w:w="30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Export Data and Reports</w:t>
            </w:r>
          </w:p>
        </w:tc>
        <w:tc>
          <w:tcPr>
            <w:tcW w:type="dxa" w:w="24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Any Authorized User</w:t>
            </w:r>
          </w:p>
        </w:tc>
        <w:tc>
          <w:tcPr>
            <w:tcW w:type="dxa" w:w="21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Medium</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UC-012</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Manage User Accounts</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IT Admin</w:t>
            </w:r>
          </w:p>
        </w:tc>
        <w:tc>
          <w:tcPr>
            <w:tcW w:type="dxa" w:w="2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High</w:t>
            </w:r>
          </w:p>
        </w:tc>
      </w:tr>
    </w:tbl>
    <w:p>
      <w:pPr>
        <w:spacing w:before="80" w:after="80"/>
      </w:pPr>
      <w:r>
        <w:t xml:space="preserve"/>
      </w:r>
    </w:p>
    <w:p>
      <w:pPr>
        <w:pStyle w:val="Heading2"/>
        <w:spacing w:before="240" w:after="80"/>
      </w:pPr>
      <w:r>
        <w:rPr>
          <w:rFonts w:ascii="Arial" w:cs="Arial" w:eastAsia="Arial" w:hAnsi="Arial"/>
          <w:b/>
          <w:bCs/>
          <w:color w:val="2E75B6"/>
          <w:sz w:val="26"/>
          <w:szCs w:val="26"/>
        </w:rPr>
        <w:t xml:space="preserve">Appendix B: Glossary of Financial Terms</w:t>
      </w:r>
    </w:p>
    <w:p>
      <w:pPr>
        <w:pStyle w:val="ListParagraph"/>
        <w:numPr>
          <w:ilvl w:val="0"/>
          <w:numId w:val="2"/>
        </w:numPr>
        <w:spacing w:before="40" w:after="40"/>
      </w:pPr>
      <w:r>
        <w:rPr>
          <w:rFonts w:ascii="Arial" w:cs="Arial" w:eastAsia="Arial" w:hAnsi="Arial"/>
          <w:sz w:val="22"/>
          <w:szCs w:val="22"/>
        </w:rPr>
        <w:t xml:space="preserve">Benford's Law – A statistical phenomenon predicting the frequency distribution of leading digits in real-world numerical data; used in fraud detection.</w:t>
      </w:r>
    </w:p>
    <w:p>
      <w:pPr>
        <w:pStyle w:val="ListParagraph"/>
        <w:numPr>
          <w:ilvl w:val="0"/>
          <w:numId w:val="2"/>
        </w:numPr>
        <w:spacing w:before="40" w:after="40"/>
      </w:pPr>
      <w:r>
        <w:rPr>
          <w:rFonts w:ascii="Arial" w:cs="Arial" w:eastAsia="Arial" w:hAnsi="Arial"/>
          <w:sz w:val="22"/>
          <w:szCs w:val="22"/>
        </w:rPr>
        <w:t xml:space="preserve">Journal Entry – A record of a financial transaction in an accounting system, specifying the accounts debited and credited.</w:t>
      </w:r>
    </w:p>
    <w:p>
      <w:pPr>
        <w:pStyle w:val="ListParagraph"/>
        <w:numPr>
          <w:ilvl w:val="0"/>
          <w:numId w:val="2"/>
        </w:numPr>
        <w:spacing w:before="40" w:after="40"/>
      </w:pPr>
      <w:r>
        <w:rPr>
          <w:rFonts w:ascii="Arial" w:cs="Arial" w:eastAsia="Arial" w:hAnsi="Arial"/>
          <w:sz w:val="22"/>
          <w:szCs w:val="22"/>
        </w:rPr>
        <w:t xml:space="preserve">Material Misstatement – An error or omission in financial statements significant enough to influence the decisions of users.</w:t>
      </w:r>
    </w:p>
    <w:p>
      <w:pPr>
        <w:pStyle w:val="ListParagraph"/>
        <w:numPr>
          <w:ilvl w:val="0"/>
          <w:numId w:val="2"/>
        </w:numPr>
        <w:spacing w:before="40" w:after="40"/>
      </w:pPr>
      <w:r>
        <w:rPr>
          <w:rFonts w:ascii="Arial" w:cs="Arial" w:eastAsia="Arial" w:hAnsi="Arial"/>
          <w:sz w:val="22"/>
          <w:szCs w:val="22"/>
        </w:rPr>
        <w:t xml:space="preserve">Segregation of Duties (SOD) – An internal control principle requiring multiple people to complete critical financial tasks.</w:t>
      </w:r>
    </w:p>
    <w:p>
      <w:pPr>
        <w:pStyle w:val="ListParagraph"/>
        <w:numPr>
          <w:ilvl w:val="0"/>
          <w:numId w:val="2"/>
        </w:numPr>
        <w:spacing w:before="40" w:after="40"/>
      </w:pPr>
      <w:r>
        <w:rPr>
          <w:rFonts w:ascii="Arial" w:cs="Arial" w:eastAsia="Arial" w:hAnsi="Arial"/>
          <w:sz w:val="22"/>
          <w:szCs w:val="22"/>
        </w:rPr>
        <w:t xml:space="preserve">Substantive Testing – Audit procedures designed to detect material misstatements in account balances and transactions.</w:t>
      </w:r>
    </w:p>
    <w:p>
      <w:pPr>
        <w:spacing w:before="80" w:after="80"/>
      </w:pPr>
      <w:r>
        <w:t xml:space="preserve"/>
      </w:r>
    </w:p>
    <w:p>
      <w:pPr>
        <w:pStyle w:val="Heading2"/>
        <w:spacing w:before="240" w:after="80"/>
      </w:pPr>
      <w:r>
        <w:rPr>
          <w:rFonts w:ascii="Arial" w:cs="Arial" w:eastAsia="Arial" w:hAnsi="Arial"/>
          <w:b/>
          <w:bCs/>
          <w:color w:val="2E75B6"/>
          <w:sz w:val="26"/>
          <w:szCs w:val="26"/>
        </w:rPr>
        <w:t xml:space="preserve">Appendix C: Document Revision History</w:t>
      </w:r>
    </w:p>
    <w:p>
      <w:pPr>
        <w:spacing w:before="8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00"/>
        <w:gridCol w:w="2000"/>
        <w:gridCol w:w="2500"/>
        <w:gridCol w:w="3360"/>
      </w:tblGrid>
      <w:tr>
        <w:trPr>
          <w:tblHeader/>
        </w:trPr>
        <w:tc>
          <w:tcPr>
            <w:tcW w:type="dxa" w:w="1500"/>
            <w:tcBorders>
              <w:top w:val="single" w:color="1F4E79" w:sz="1"/>
              <w:left w:val="single" w:color="1F4E79" w:sz="1"/>
              <w:bottom w:val="single" w:color="1F4E79" w:sz="1"/>
              <w:right w:val="single" w:color="1F4E79" w:sz="1"/>
            </w:tcBorders>
            <w:shd w:fill="1F4E79" w:val="clear"/>
            <w:tcMar>
              <w:top w:type="dxa" w:w="100"/>
              <w:left w:type="dxa" w:w="120"/>
              <w:bottom w:type="dxa" w:w="100"/>
              <w:right w:type="dxa" w:w="120"/>
            </w:tcMar>
            <w:vAlign w:val="center"/>
          </w:tcPr>
          <w:p>
            <w:pPr>
              <w:jc w:val="center"/>
            </w:pPr>
            <w:r>
              <w:rPr>
                <w:rFonts w:ascii="Arial" w:cs="Arial" w:eastAsia="Arial" w:hAnsi="Arial"/>
                <w:b/>
                <w:bCs/>
                <w:color w:val="FFFFFF"/>
                <w:sz w:val="20"/>
                <w:szCs w:val="20"/>
              </w:rPr>
              <w:t xml:space="preserve">Version</w:t>
            </w:r>
          </w:p>
        </w:tc>
        <w:tc>
          <w:tcPr>
            <w:tcW w:type="dxa" w:w="2000"/>
            <w:tcBorders>
              <w:top w:val="single" w:color="1F4E79" w:sz="1"/>
              <w:left w:val="single" w:color="1F4E79" w:sz="1"/>
              <w:bottom w:val="single" w:color="1F4E79" w:sz="1"/>
              <w:right w:val="single" w:color="1F4E79" w:sz="1"/>
            </w:tcBorders>
            <w:shd w:fill="1F4E79" w:val="clear"/>
            <w:tcMar>
              <w:top w:type="dxa" w:w="100"/>
              <w:left w:type="dxa" w:w="120"/>
              <w:bottom w:type="dxa" w:w="100"/>
              <w:right w:type="dxa" w:w="120"/>
            </w:tcMar>
            <w:vAlign w:val="center"/>
          </w:tcPr>
          <w:p>
            <w:pPr>
              <w:jc w:val="center"/>
            </w:pPr>
            <w:r>
              <w:rPr>
                <w:rFonts w:ascii="Arial" w:cs="Arial" w:eastAsia="Arial" w:hAnsi="Arial"/>
                <w:b/>
                <w:bCs/>
                <w:color w:val="FFFFFF"/>
                <w:sz w:val="20"/>
                <w:szCs w:val="20"/>
              </w:rPr>
              <w:t xml:space="preserve">Date</w:t>
            </w:r>
          </w:p>
        </w:tc>
        <w:tc>
          <w:tcPr>
            <w:tcW w:type="dxa" w:w="2500"/>
            <w:tcBorders>
              <w:top w:val="single" w:color="1F4E79" w:sz="1"/>
              <w:left w:val="single" w:color="1F4E79" w:sz="1"/>
              <w:bottom w:val="single" w:color="1F4E79" w:sz="1"/>
              <w:right w:val="single" w:color="1F4E79" w:sz="1"/>
            </w:tcBorders>
            <w:shd w:fill="1F4E79" w:val="clear"/>
            <w:tcMar>
              <w:top w:type="dxa" w:w="100"/>
              <w:left w:type="dxa" w:w="120"/>
              <w:bottom w:type="dxa" w:w="100"/>
              <w:right w:type="dxa" w:w="120"/>
            </w:tcMar>
            <w:vAlign w:val="center"/>
          </w:tcPr>
          <w:p>
            <w:pPr>
              <w:jc w:val="center"/>
            </w:pPr>
            <w:r>
              <w:rPr>
                <w:rFonts w:ascii="Arial" w:cs="Arial" w:eastAsia="Arial" w:hAnsi="Arial"/>
                <w:b/>
                <w:bCs/>
                <w:color w:val="FFFFFF"/>
                <w:sz w:val="20"/>
                <w:szCs w:val="20"/>
              </w:rPr>
              <w:t xml:space="preserve">Author</w:t>
            </w:r>
          </w:p>
        </w:tc>
        <w:tc>
          <w:tcPr>
            <w:tcW w:type="dxa" w:w="3360"/>
            <w:tcBorders>
              <w:top w:val="single" w:color="1F4E79" w:sz="1"/>
              <w:left w:val="single" w:color="1F4E79" w:sz="1"/>
              <w:bottom w:val="single" w:color="1F4E79" w:sz="1"/>
              <w:right w:val="single" w:color="1F4E79" w:sz="1"/>
            </w:tcBorders>
            <w:shd w:fill="1F4E79" w:val="clear"/>
            <w:tcMar>
              <w:top w:type="dxa" w:w="100"/>
              <w:left w:type="dxa" w:w="120"/>
              <w:bottom w:type="dxa" w:w="100"/>
              <w:right w:type="dxa" w:w="120"/>
            </w:tcMar>
            <w:vAlign w:val="center"/>
          </w:tcPr>
          <w:p>
            <w:pPr>
              <w:jc w:val="center"/>
            </w:pPr>
            <w:r>
              <w:rPr>
                <w:rFonts w:ascii="Arial" w:cs="Arial" w:eastAsia="Arial" w:hAnsi="Arial"/>
                <w:b/>
                <w:bCs/>
                <w:color w:val="FFFFFF"/>
                <w:sz w:val="20"/>
                <w:szCs w:val="20"/>
              </w:rPr>
              <w:t xml:space="preserve">Description</w:t>
            </w:r>
          </w:p>
        </w:tc>
      </w:tr>
      <w:tr>
        <w:tc>
          <w:tcPr>
            <w:tcW w:type="dxa" w:w="15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0.1</w:t>
            </w:r>
          </w:p>
        </w:tc>
        <w:tc>
          <w:tcPr>
            <w:tcW w:type="dxa" w:w="20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January 2026</w:t>
            </w:r>
          </w:p>
        </w:tc>
        <w:tc>
          <w:tcPr>
            <w:tcW w:type="dxa" w:w="25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Software Team</w:t>
            </w:r>
          </w:p>
        </w:tc>
        <w:tc>
          <w:tcPr>
            <w:tcW w:type="dxa" w:w="33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Initial draft – structure and scope</w:t>
            </w:r>
          </w:p>
        </w:tc>
      </w:tr>
      <w:tr>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0.5</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February 2026</w:t>
            </w:r>
          </w:p>
        </w:tc>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Software Team</w:t>
            </w:r>
          </w:p>
        </w:tc>
        <w:tc>
          <w:tcPr>
            <w:tcW w:type="dxa" w:w="3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Functional requirements added</w:t>
            </w:r>
          </w:p>
        </w:tc>
      </w:tr>
      <w:tr>
        <w:tc>
          <w:tcPr>
            <w:tcW w:type="dxa" w:w="15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0.8</w:t>
            </w:r>
          </w:p>
        </w:tc>
        <w:tc>
          <w:tcPr>
            <w:tcW w:type="dxa" w:w="20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February 2026</w:t>
            </w:r>
          </w:p>
        </w:tc>
        <w:tc>
          <w:tcPr>
            <w:tcW w:type="dxa" w:w="25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Review Team</w:t>
            </w:r>
          </w:p>
        </w:tc>
        <w:tc>
          <w:tcPr>
            <w:tcW w:type="dxa" w:w="33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Non-functional requirements and review</w:t>
            </w:r>
          </w:p>
        </w:tc>
      </w:tr>
      <w:tr>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1.0</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March 2026</w:t>
            </w:r>
          </w:p>
        </w:tc>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Software Team</w:t>
            </w:r>
          </w:p>
        </w:tc>
        <w:tc>
          <w:tcPr>
            <w:tcW w:type="dxa" w:w="3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Final approved version</w:t>
            </w:r>
          </w:p>
        </w:tc>
      </w:tr>
    </w:tbl>
    <w:p>
      <w:pPr>
        <w:spacing w:before="80" w:after="80"/>
      </w:pPr>
      <w:r>
        <w:t xml:space="preserve"/>
      </w:r>
    </w:p>
    <w:p>
      <w:pPr>
        <w:pBdr>
          <w:top w:val="single" w:color="1F4E79" w:sz="4" w:space="6"/>
        </w:pBdr>
        <w:spacing w:before="480" w:after="120"/>
        <w:jc w:val="center"/>
      </w:pPr>
      <w:r>
        <w:rPr>
          <w:rFonts w:ascii="Arial" w:cs="Arial" w:eastAsia="Arial" w:hAnsi="Arial"/>
          <w:b/>
          <w:bCs/>
          <w:i/>
          <w:iCs/>
          <w:color w:val="595959"/>
          <w:sz w:val="22"/>
          <w:szCs w:val="22"/>
        </w:rPr>
        <w:t xml:space="preserve">— End of Document —</w:t>
      </w:r>
    </w:p>
    <w:sectPr>
      <w:headerReference w:type="default" r:id="rId6"/>
      <w:footerReference w:type="default" r:id="rId7"/>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CCCCCC" w:sz="2" w:space="1"/>
      </w:pBdr>
      <w:tabs>
        <w:tab w:val="right" w:pos="9026"/>
      </w:tabs>
    </w:pPr>
    <w:r>
      <w:rPr>
        <w:rFonts w:ascii="Arial" w:cs="Arial" w:eastAsia="Arial" w:hAnsi="Arial"/>
        <w:color w:val="595959"/>
        <w:sz w:val="18"/>
        <w:szCs w:val="18"/>
      </w:rPr>
      <w:t xml:space="preserve">Confidential</w:t>
    </w:r>
    <w:r>
      <w:rPr>
        <w:rFonts w:ascii="Arial" w:cs="Arial" w:eastAsia="Arial" w:hAnsi="Arial"/>
        <w:color w:val="595959"/>
        <w:sz w:val="18"/>
        <w:szCs w:val="18"/>
      </w:rPr>
      <w:t xml:space="preserve">	Page </w:t>
    </w:r>
    <w:fldSimple w:instr="PAGE"/>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E75B6" w:sz="4" w:space="1"/>
      </w:pBdr>
    </w:pPr>
    <w:r>
      <w:rPr>
        <w:rFonts w:ascii="Arial" w:cs="Arial" w:eastAsia="Arial" w:hAnsi="Arial"/>
        <w:color w:val="2E75B6"/>
        <w:sz w:val="18"/>
        <w:szCs w:val="18"/>
      </w:rPr>
      <w:t xml:space="preserve">SRS – AI-Powered Financial Auditing System  |  v1.0</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bullet"/>
      <w:lvlText w:val="◦"/>
      <w:lvlJc w:val="left"/>
      <w:pPr>
        <w:ind w:left="1080" w:hanging="360"/>
      </w:pPr>
    </w:lvl>
  </w:abstractNum>
  <w:abstractNum w:abstractNumId="4"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4"/>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60" w:after="120"/>
      <w:outlineLvl w:val="0"/>
    </w:pPr>
    <w:rPr>
      <w:rFonts w:ascii="Arial" w:cs="Arial" w:eastAsia="Arial" w:hAnsi="Arial"/>
      <w:b/>
      <w:bCs/>
      <w:color w:val="1F4E79"/>
      <w:sz w:val="32"/>
      <w:szCs w:val="32"/>
    </w:rPr>
  </w:style>
  <w:style w:type="paragraph" w:styleId="Heading2">
    <w:name w:val="Heading 2"/>
    <w:basedOn w:val="Normal"/>
    <w:next w:val="Normal"/>
    <w:qFormat/>
    <w:pPr>
      <w:spacing w:before="240" w:after="80"/>
      <w:outlineLvl w:val="1"/>
    </w:pPr>
    <w:rPr>
      <w:rFonts w:ascii="Arial" w:cs="Arial" w:eastAsia="Arial" w:hAnsi="Arial"/>
      <w:b/>
      <w:bCs/>
      <w:color w:val="2E75B6"/>
      <w:sz w:val="26"/>
      <w:szCs w:val="26"/>
    </w:rPr>
  </w:style>
  <w:style w:type="paragraph" w:styleId="Heading3">
    <w:name w:val="Heading 3"/>
    <w:basedOn w:val="Normal"/>
    <w:next w:val="Normal"/>
    <w:qFormat/>
    <w:pPr>
      <w:spacing w:before="180" w:after="60"/>
      <w:outlineLvl w:val="2"/>
    </w:pPr>
    <w:rPr>
      <w:rFonts w:ascii="Arial" w:cs="Arial" w:eastAsia="Arial" w:hAnsi="Arial"/>
      <w:b/>
      <w:bCs/>
      <w:color w:val="404040"/>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2026-03-12T00:17:15.613Z</dcterms:created>
  <dcterms:modified xsi:type="dcterms:W3CDTF">2026-03-12T00:17:15.615Z</dcterms:modified>
</cp:coreProperties>
</file>

<file path=docProps/custom.xml><?xml version="1.0" encoding="utf-8"?>
<Properties xmlns="http://schemas.openxmlformats.org/officeDocument/2006/custom-properties" xmlns:vt="http://schemas.openxmlformats.org/officeDocument/2006/docPropsVTypes"/>
</file>