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Todo List</w:t>
      </w:r>
    </w:p>
    <w:p>
      <w:pPr>
        <w:pStyle w:val="Heading2"/>
      </w:pPr>
      <w:r>
        <w:t>1. Introduction and Scope</w:t>
      </w:r>
    </w:p>
    <w:p>
      <w:r>
        <w:rPr>
          <w:b w:val="0"/>
          <w:i w:val="0"/>
        </w:rPr>
        <w:t>This document outlines the tasks and deadlines for completing the electrostatics study guide.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Task ID</w:t>
            </w:r>
          </w:p>
        </w:tc>
        <w:tc>
          <w:tcPr>
            <w:tcW w:type="dxa" w:w="1728"/>
          </w:tcPr>
          <w:p>
            <w:r>
              <w:t>Description</w:t>
            </w:r>
          </w:p>
        </w:tc>
        <w:tc>
          <w:tcPr>
            <w:tcW w:type="dxa" w:w="1728"/>
          </w:tcPr>
          <w:p>
            <w:r>
              <w:t>Priority</w:t>
            </w:r>
          </w:p>
        </w:tc>
        <w:tc>
          <w:tcPr>
            <w:tcW w:type="dxa" w:w="1728"/>
          </w:tcPr>
          <w:p>
            <w:r>
              <w:t>Due Date</w:t>
            </w:r>
          </w:p>
        </w:tc>
        <w:tc>
          <w:tcPr>
            <w:tcW w:type="dxa" w:w="1728"/>
          </w:tcPr>
          <w:p>
            <w:r>
              <w:t>Estimated Hours</w:t>
            </w:r>
          </w:p>
        </w:tc>
      </w:tr>
      <w:tr>
        <w:tc>
          <w:tcPr>
            <w:tcW w:type="dxa" w:w="1728"/>
          </w:tcPr>
          <w:p>
            <w:r>
              <w:t>1</w:t>
            </w:r>
          </w:p>
        </w:tc>
        <w:tc>
          <w:tcPr>
            <w:tcW w:type="dxa" w:w="1728"/>
          </w:tcPr>
          <w:p>
            <w:r>
              <w:t>Conduct a comprehensive literature review on electrostatic theory, focusing on Coulomb's law and Gauss's law.</w:t>
            </w:r>
          </w:p>
        </w:tc>
        <w:tc>
          <w:tcPr>
            <w:tcW w:type="dxa" w:w="1728"/>
          </w:tcPr>
          <w:p>
            <w:r>
              <w:t>High</w:t>
            </w:r>
          </w:p>
        </w:tc>
        <w:tc>
          <w:tcPr>
            <w:tcW w:type="dxa" w:w="1728"/>
          </w:tcPr>
          <w:p>
            <w:r>
              <w:t>2026-07-15</w:t>
            </w:r>
          </w:p>
        </w:tc>
        <w:tc>
          <w:tcPr>
            <w:tcW w:type="dxa" w:w="1728"/>
          </w:tcPr>
          <w:p>
            <w:r>
              <w:t>8</w:t>
            </w:r>
          </w:p>
        </w:tc>
      </w:tr>
      <w:tr>
        <w:tc>
          <w:tcPr>
            <w:tcW w:type="dxa" w:w="1728"/>
          </w:tcPr>
          <w:p>
            <w:r>
              <w:t>2</w:t>
            </w:r>
          </w:p>
        </w:tc>
        <w:tc>
          <w:tcPr>
            <w:tcW w:type="dxa" w:w="1728"/>
          </w:tcPr>
          <w:p>
            <w:r>
              <w:t>Develop a detailed comparative analysis of electric field strength calculations using Coulomb's law versus Gauss's law.</w:t>
            </w:r>
          </w:p>
        </w:tc>
        <w:tc>
          <w:tcPr>
            <w:tcW w:type="dxa" w:w="1728"/>
          </w:tcPr>
          <w:p>
            <w:r>
              <w:t>High</w:t>
            </w:r>
          </w:p>
        </w:tc>
        <w:tc>
          <w:tcPr>
            <w:tcW w:type="dxa" w:w="1728"/>
          </w:tcPr>
          <w:p>
            <w:r>
              <w:t>2026-07-20</w:t>
            </w:r>
          </w:p>
        </w:tc>
        <w:tc>
          <w:tcPr>
            <w:tcW w:type="dxa" w:w="1728"/>
          </w:tcPr>
          <w:p>
            <w:r>
              <w:t>12</w:t>
            </w:r>
          </w:p>
        </w:tc>
      </w:tr>
      <w:tr>
        <w:tc>
          <w:tcPr>
            <w:tcW w:type="dxa" w:w="1728"/>
          </w:tcPr>
          <w:p>
            <w:r>
              <w:t>3</w:t>
            </w:r>
          </w:p>
        </w:tc>
        <w:tc>
          <w:tcPr>
            <w:tcW w:type="dxa" w:w="1728"/>
          </w:tcPr>
          <w:p>
            <w:r>
              <w:t>Create practical example problems for point charges, line charges, and surface charge distributions, including step‑by‑step solutions.</w:t>
            </w:r>
          </w:p>
        </w:tc>
        <w:tc>
          <w:tcPr>
            <w:tcW w:type="dxa" w:w="1728"/>
          </w:tcPr>
          <w:p>
            <w:r>
              <w:t>Medium</w:t>
            </w:r>
          </w:p>
        </w:tc>
        <w:tc>
          <w:tcPr>
            <w:tcW w:type="dxa" w:w="1728"/>
          </w:tcPr>
          <w:p>
            <w:r>
              <w:t>2026-07-25</w:t>
            </w:r>
          </w:p>
        </w:tc>
        <w:tc>
          <w:tcPr>
            <w:tcW w:type="dxa" w:w="1728"/>
          </w:tcPr>
          <w:p>
            <w:r>
              <w:t>10</w:t>
            </w:r>
          </w:p>
        </w:tc>
      </w:tr>
      <w:tr>
        <w:tc>
          <w:tcPr>
            <w:tcW w:type="dxa" w:w="1728"/>
          </w:tcPr>
          <w:p>
            <w:r>
              <w:t>4</w:t>
            </w:r>
          </w:p>
        </w:tc>
        <w:tc>
          <w:tcPr>
            <w:tcW w:type="dxa" w:w="1728"/>
          </w:tcPr>
          <w:p>
            <w:r>
              <w:t>Design illustrative diagrams that visualize field lines and Gaussian surfaces for each charge configuration.</w:t>
            </w:r>
          </w:p>
        </w:tc>
        <w:tc>
          <w:tcPr>
            <w:tcW w:type="dxa" w:w="1728"/>
          </w:tcPr>
          <w:p>
            <w:r>
              <w:t>Medium</w:t>
            </w:r>
          </w:p>
        </w:tc>
        <w:tc>
          <w:tcPr>
            <w:tcW w:type="dxa" w:w="1728"/>
          </w:tcPr>
          <w:p>
            <w:r>
              <w:t>2026-07-28</w:t>
            </w:r>
          </w:p>
        </w:tc>
        <w:tc>
          <w:tcPr>
            <w:tcW w:type="dxa" w:w="1728"/>
          </w:tcPr>
          <w:p>
            <w:r>
              <w:t>6</w:t>
            </w:r>
          </w:p>
        </w:tc>
      </w:tr>
      <w:tr>
        <w:tc>
          <w:tcPr>
            <w:tcW w:type="dxa" w:w="1728"/>
          </w:tcPr>
          <w:p>
            <w:r>
              <w:t>5</w:t>
            </w:r>
          </w:p>
        </w:tc>
        <w:tc>
          <w:tcPr>
            <w:tcW w:type="dxa" w:w="1728"/>
          </w:tcPr>
          <w:p>
            <w:r>
              <w:t>Draft the study guide manuscript, integrating explanations, examples, and diagrams into a cohesive document.</w:t>
            </w:r>
          </w:p>
        </w:tc>
        <w:tc>
          <w:tcPr>
            <w:tcW w:type="dxa" w:w="1728"/>
          </w:tcPr>
          <w:p>
            <w:r>
              <w:t>High</w:t>
            </w:r>
          </w:p>
        </w:tc>
        <w:tc>
          <w:tcPr>
            <w:tcW w:type="dxa" w:w="1728"/>
          </w:tcPr>
          <w:p>
            <w:r>
              <w:t>2026-08-05</w:t>
            </w:r>
          </w:p>
        </w:tc>
        <w:tc>
          <w:tcPr>
            <w:tcW w:type="dxa" w:w="1728"/>
          </w:tcPr>
          <w:p>
            <w:r>
              <w:t>15</w:t>
            </w:r>
          </w:p>
        </w:tc>
      </w:tr>
      <w:tr>
        <w:tc>
          <w:tcPr>
            <w:tcW w:type="dxa" w:w="1728"/>
          </w:tcPr>
          <w:p>
            <w:r>
              <w:t>6</w:t>
            </w:r>
          </w:p>
        </w:tc>
        <w:tc>
          <w:tcPr>
            <w:tcW w:type="dxa" w:w="1728"/>
          </w:tcPr>
          <w:p>
            <w:r>
              <w:t>Perform peer review and incorporate feedback to refine the guide for accuracy and clarity.</w:t>
            </w:r>
          </w:p>
        </w:tc>
        <w:tc>
          <w:tcPr>
            <w:tcW w:type="dxa" w:w="1728"/>
          </w:tcPr>
          <w:p>
            <w:r>
              <w:t>Low</w:t>
            </w:r>
          </w:p>
        </w:tc>
        <w:tc>
          <w:tcPr>
            <w:tcW w:type="dxa" w:w="1728"/>
          </w:tcPr>
          <w:p>
            <w:r>
              <w:t>2026-08-10</w:t>
            </w:r>
          </w:p>
        </w:tc>
        <w:tc>
          <w:tcPr>
            <w:tcW w:type="dxa" w:w="1728"/>
          </w:tcPr>
          <w:p>
            <w:r>
              <w:t>5</w:t>
            </w:r>
          </w:p>
        </w:tc>
      </w:tr>
      <w:tr>
        <w:tc>
          <w:tcPr>
            <w:tcW w:type="dxa" w:w="1728"/>
          </w:tcPr>
          <w:p>
            <w:r>
              <w:t>7</w:t>
            </w:r>
          </w:p>
        </w:tc>
        <w:tc>
          <w:tcPr>
            <w:tcW w:type="dxa" w:w="1728"/>
          </w:tcPr>
          <w:p>
            <w:r>
              <w:t>Publish the final study guide on the department’s knowledge‑base platform and announce its availability to students.</w:t>
            </w:r>
          </w:p>
        </w:tc>
        <w:tc>
          <w:tcPr>
            <w:tcW w:type="dxa" w:w="1728"/>
          </w:tcPr>
          <w:p>
            <w:r>
              <w:t>Low</w:t>
            </w:r>
          </w:p>
        </w:tc>
        <w:tc>
          <w:tcPr>
            <w:tcW w:type="dxa" w:w="1728"/>
          </w:tcPr>
          <w:p>
            <w:r>
              <w:t>2026-08-12</w:t>
            </w:r>
          </w:p>
        </w:tc>
        <w:tc>
          <w:tcPr>
            <w:tcW w:type="dxa" w:w="1728"/>
          </w:tcPr>
          <w:p>
            <w:r>
              <w:t>3</w:t>
            </w:r>
          </w:p>
        </w:tc>
      </w:tr>
      <w:tr>
        <w:tc>
          <w:tcPr>
            <w:tcW w:type="dxa" w:w="1728"/>
          </w:tcPr>
          <w:p>
            <w:r>
              <w:t>**Total**</w:t>
            </w:r>
          </w:p>
        </w:tc>
        <w:tc>
          <w:tcPr>
            <w:tcW w:type="dxa" w:w="1728"/>
          </w:tcPr>
          <w:p>
            <w:r/>
          </w:p>
        </w:tc>
        <w:tc>
          <w:tcPr>
            <w:tcW w:type="dxa" w:w="1728"/>
          </w:tcPr>
          <w:p>
            <w:r/>
          </w:p>
        </w:tc>
        <w:tc>
          <w:tcPr>
            <w:tcW w:type="dxa" w:w="1728"/>
          </w:tcPr>
          <w:p>
            <w:r/>
          </w:p>
        </w:tc>
        <w:tc>
          <w:tcPr>
            <w:tcW w:type="dxa" w:w="1728"/>
          </w:tcPr>
          <w:p>
            <w:r>
              <w:t>**59**</w:t>
            </w:r>
          </w:p>
        </w:tc>
      </w:tr>
    </w:tbl>
    <w:p>
      <w:r>
        <w:rPr>
          <w:b w:val="0"/>
          <w:i/>
        </w:rPr>
        <w:t>All tasks are expressed as complete sentences in the Description column. Priorities have been aligned with the intended importance of each task, and the Due Date column contains only the calendar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