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Title Page</w:t>
      </w:r>
    </w:p>
    <w:p>
      <w:pPr>
        <w:pStyle w:val="Heading2"/>
      </w:pPr>
      <w:r>
        <w:t>Project Overview</w:t>
      </w:r>
    </w:p>
    <w:p>
      <w:r>
        <w:rPr>
          <w:b w:val="0"/>
          <w:i w:val="0"/>
        </w:rPr>
        <w:t>A concise, self‑contained todo list for the development of a comprehensive electrostatics problem set, including point‑charge calculations, field superposition, potential‑energy analysis, and capacitance applications. All tasks are prioritized, assigned, and tracked to ensure on‑time delivery.</w:t>
      </w:r>
    </w:p>
    <w:p>
      <w:r>
        <w:rPr>
          <w:b w:val="0"/>
          <w:i w:val="0"/>
        </w:rPr>
        <w:t>---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Estimated Hours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Deadline</w:t>
            </w:r>
          </w:p>
        </w:tc>
      </w:tr>
      <w:tr>
        <w:tc>
          <w:tcPr>
            <w:tcW w:type="dxa" w:w="1440"/>
          </w:tcPr>
          <w:p>
            <w:r>
              <w:t>Develop a complete set of point‑charge problems that require calculation of electric field magnitude and direction.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Alice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2026‑08‑15</w:t>
            </w:r>
          </w:p>
        </w:tc>
      </w:tr>
      <w:tr>
        <w:tc>
          <w:tcPr>
            <w:tcW w:type="dxa" w:w="1440"/>
          </w:tcPr>
          <w:p>
            <w:r>
              <w:t>Create a series of superposition exercises that combine multiple point charges and ask for resultant field vectors.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2026‑08‑15</w:t>
            </w:r>
          </w:p>
        </w:tc>
      </w:tr>
      <w:tr>
        <w:tc>
          <w:tcPr>
            <w:tcW w:type="dxa" w:w="1440"/>
          </w:tcPr>
          <w:p>
            <w:r>
              <w:t>Formulate potential‑energy questions that involve moving charges in an electric field and computing work done.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Charlie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2026‑08‑15</w:t>
            </w:r>
          </w:p>
        </w:tc>
      </w:tr>
      <w:tr>
        <w:tc>
          <w:tcPr>
            <w:tcW w:type="dxa" w:w="1440"/>
          </w:tcPr>
          <w:p>
            <w:r>
              <w:t>Design capacitance problems, including parallel‑plate and spherical configurations, with detailed solution steps.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Dana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2026‑08‑15</w:t>
            </w:r>
          </w:p>
        </w:tc>
      </w:tr>
    </w:tbl>
    <w:p>
      <w:r>
        <w:rPr>
          <w:b w:val="0"/>
          <w:i w:val="0"/>
        </w:rPr>
        <w:t>---</w:t>
      </w:r>
    </w:p>
    <w:p>
      <w:r>
        <w:rPr>
          <w:b/>
          <w:i w:val="0"/>
        </w:rPr>
        <w:t>Total Estimated Hours:</w:t>
      </w:r>
      <w:r>
        <w:rPr>
          <w:b w:val="0"/>
          <w:i w:val="0"/>
        </w:rPr>
        <w:t xml:space="preserve"> 23</w:t>
      </w:r>
    </w:p>
    <w:p>
      <w:r>
        <w:rPr>
          <w:b w:val="0"/>
          <w:i/>
        </w:rPr>
        <w:t xml:space="preserve">All deliverables are due by </w:t>
      </w:r>
      <w:r>
        <w:rPr>
          <w:b w:val="0"/>
          <w:i/>
        </w:rPr>
        <w:t>15 August 2026</w:t>
      </w:r>
      <w:r>
        <w:rPr>
          <w:b w:val="0"/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