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Todo List</w:t>
      </w:r>
    </w:p>
    <w:p>
      <w:pPr>
        <w:pStyle w:val="Heading2"/>
      </w:pPr>
      <w:r>
        <w:t>Introduction &amp; Assumptions</w:t>
      </w:r>
    </w:p>
    <w:p>
      <w:r>
        <w:rPr>
          <w:b w:val="0"/>
          <w:i w:val="0"/>
        </w:rPr>
        <w:t>The following list outlines the preparatory tasks required before beginning the two‑day study plan on electrostatics. Completing these items ensures that the foundational concepts of electric field and Coulomb’s law are understood and that any simplifying assumptions are explicitly noted.</w:t>
      </w:r>
    </w:p>
    <w:tbl>
      <w:tblPr>
        <w:tblStyle w:val="LightGrid-Accent1"/>
        <w:tblW w:type="auto" w:w="0"/>
        <w:tblLook w:firstColumn="1" w:firstRow="1" w:lastColumn="0" w:lastRow="0" w:noHBand="0" w:noVBand="1" w:val="04A0"/>
      </w:tblPr>
      <w:tblGrid>
        <w:gridCol w:w="4320"/>
        <w:gridCol w:w="4320"/>
      </w:tblGrid>
      <w:tr>
        <w:tc>
          <w:tcPr>
            <w:tcW w:type="dxa" w:w="4320"/>
          </w:tcPr>
          <w:p>
            <w:r>
              <w:t>Task Description</w:t>
            </w:r>
          </w:p>
        </w:tc>
        <w:tc>
          <w:tcPr>
            <w:tcW w:type="dxa" w:w="4320"/>
          </w:tcPr>
          <w:p>
            <w:r>
              <w:t>Priority</w:t>
            </w:r>
          </w:p>
        </w:tc>
      </w:tr>
      <w:tr>
        <w:tc>
          <w:tcPr>
            <w:tcW w:type="dxa" w:w="4320"/>
          </w:tcPr>
          <w:p>
            <w:r>
              <w:t>Review the definition of electric field and its vector nature.</w:t>
            </w:r>
          </w:p>
        </w:tc>
        <w:tc>
          <w:tcPr>
            <w:tcW w:type="dxa" w:w="4320"/>
          </w:tcPr>
          <w:p>
            <w:r>
              <w:t>High</w:t>
            </w:r>
          </w:p>
        </w:tc>
      </w:tr>
      <w:tr>
        <w:tc>
          <w:tcPr>
            <w:tcW w:type="dxa" w:w="4320"/>
          </w:tcPr>
          <w:p>
            <w:r>
              <w:t>Summarize Coulomb's law, including the mathematical expression and the meaning of each term.</w:t>
            </w:r>
          </w:p>
        </w:tc>
        <w:tc>
          <w:tcPr>
            <w:tcW w:type="dxa" w:w="4320"/>
          </w:tcPr>
          <w:p>
            <w:r>
              <w:t>High</w:t>
            </w:r>
          </w:p>
        </w:tc>
      </w:tr>
      <w:tr>
        <w:tc>
          <w:tcPr>
            <w:tcW w:type="dxa" w:w="4320"/>
          </w:tcPr>
          <w:p>
            <w:r>
              <w:t>Identify the assumptions underlying the point‑charge model, such as stationary charges and a vacuum medium.</w:t>
            </w:r>
          </w:p>
        </w:tc>
        <w:tc>
          <w:tcPr>
            <w:tcW w:type="dxa" w:w="4320"/>
          </w:tcPr>
          <w:p>
            <w:r>
              <w:t>Medium</w:t>
            </w:r>
          </w:p>
        </w:tc>
      </w:tr>
      <w:tr>
        <w:tc>
          <w:tcPr>
            <w:tcW w:type="dxa" w:w="4320"/>
          </w:tcPr>
          <w:p>
            <w:r>
              <w:t>List the units commonly used for charge, distance, and electric field strength.</w:t>
            </w:r>
          </w:p>
        </w:tc>
        <w:tc>
          <w:tcPr>
            <w:tcW w:type="dxa" w:w="4320"/>
          </w:tcPr>
          <w:p>
            <w:r>
              <w:t>Medium</w:t>
            </w:r>
          </w:p>
        </w:tc>
      </w:tr>
      <w:tr>
        <w:tc>
          <w:tcPr>
            <w:tcW w:type="dxa" w:w="4320"/>
          </w:tcPr>
          <w:p>
            <w:r>
              <w:t>Clarify the sign convention for electric field direction relative to positive test charges.</w:t>
            </w:r>
          </w:p>
        </w:tc>
        <w:tc>
          <w:tcPr>
            <w:tcW w:type="dxa" w:w="4320"/>
          </w:tcPr>
          <w:p>
            <w:r>
              <w:t>Low</w:t>
            </w:r>
          </w:p>
        </w:tc>
      </w:tr>
    </w:tbl>
    <w:p>
      <w:r>
        <w:rPr>
          <w:b w:val="0"/>
          <w:i w:val="0"/>
        </w:rPr>
        <w:t>After completing the tasks above, proceed to the detailed day‑by‑day study schedule. Remember to allocate focused study intervals, review notes after each session, and address any questions before moving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