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Day 1: Electric Field</w:t>
      </w:r>
    </w:p>
    <w:p>
      <w:r>
        <w:rPr>
          <w:b w:val="0"/>
          <w:i w:val="0"/>
        </w:rPr>
        <w:t>The two‑day study schedule below is organized to help you build a solid foundation in electrostatics, beginning with the electric field. Tasks are ranked by priority (High, Medium, Low) according to their relevance for mastering core concepts and their typical weight on exams.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Task</w:t>
            </w:r>
          </w:p>
        </w:tc>
        <w:tc>
          <w:tcPr>
            <w:tcW w:type="dxa" w:w="2160"/>
          </w:tcPr>
          <w:p>
            <w:r>
              <w:t>Priority</w:t>
            </w:r>
          </w:p>
        </w:tc>
        <w:tc>
          <w:tcPr>
            <w:tcW w:type="dxa" w:w="2160"/>
          </w:tcPr>
          <w:p>
            <w:r>
              <w:t>Hours</w:t>
            </w:r>
          </w:p>
        </w:tc>
      </w:tr>
      <w:tr>
        <w:tc>
          <w:tcPr>
            <w:tcW w:type="dxa" w:w="2160"/>
          </w:tcPr>
          <w:p>
            <w:r>
              <w:t>09:00–10:00</w:t>
            </w:r>
          </w:p>
        </w:tc>
        <w:tc>
          <w:tcPr>
            <w:tcW w:type="dxa" w:w="2160"/>
          </w:tcPr>
          <w:p>
            <w:r>
              <w:t>Review lecture notes on electric‑field definitions, field lines, and superposition.</w:t>
            </w:r>
          </w:p>
        </w:tc>
        <w:tc>
          <w:tcPr>
            <w:tcW w:type="dxa" w:w="2160"/>
          </w:tcPr>
          <w:p>
            <w:r>
              <w:t>High</w:t>
            </w:r>
          </w:p>
        </w:tc>
        <w:tc>
          <w:tcPr>
            <w:tcW w:type="dxa" w:w="2160"/>
          </w:tcPr>
          <w:p>
            <w:r>
              <w:t>1.0 h</w:t>
            </w:r>
          </w:p>
        </w:tc>
      </w:tr>
      <w:tr>
        <w:tc>
          <w:tcPr>
            <w:tcW w:type="dxa" w:w="2160"/>
          </w:tcPr>
          <w:p>
            <w:r>
              <w:t>10:15–11:45</w:t>
            </w:r>
          </w:p>
        </w:tc>
        <w:tc>
          <w:tcPr>
            <w:tcW w:type="dxa" w:w="2160"/>
          </w:tcPr>
          <w:p>
            <w:r>
              <w:t>Solve textbook problems that calculate the electric field produced by point charges.</w:t>
            </w:r>
          </w:p>
        </w:tc>
        <w:tc>
          <w:tcPr>
            <w:tcW w:type="dxa" w:w="2160"/>
          </w:tcPr>
          <w:p>
            <w:r>
              <w:t>High</w:t>
            </w:r>
          </w:p>
        </w:tc>
        <w:tc>
          <w:tcPr>
            <w:tcW w:type="dxa" w:w="2160"/>
          </w:tcPr>
          <w:p>
            <w:r>
              <w:t>1.5 h</w:t>
            </w:r>
          </w:p>
        </w:tc>
      </w:tr>
      <w:tr>
        <w:tc>
          <w:tcPr>
            <w:tcW w:type="dxa" w:w="2160"/>
          </w:tcPr>
          <w:p>
            <w:r>
              <w:t>12:00–12:30</w:t>
            </w:r>
          </w:p>
        </w:tc>
        <w:tc>
          <w:tcPr>
            <w:tcW w:type="dxa" w:w="2160"/>
          </w:tcPr>
          <w:p>
            <w:r>
              <w:t>Watch a short video that visualizes electric‑field vectors around multiple charges.</w:t>
            </w:r>
          </w:p>
        </w:tc>
        <w:tc>
          <w:tcPr>
            <w:tcW w:type="dxa" w:w="2160"/>
          </w:tcPr>
          <w:p>
            <w:r>
              <w:t>Medium</w:t>
            </w:r>
          </w:p>
        </w:tc>
        <w:tc>
          <w:tcPr>
            <w:tcW w:type="dxa" w:w="2160"/>
          </w:tcPr>
          <w:p>
            <w:r>
              <w:t>0.5 h</w:t>
            </w:r>
          </w:p>
        </w:tc>
      </w:tr>
      <w:tr>
        <w:tc>
          <w:tcPr>
            <w:tcW w:type="dxa" w:w="2160"/>
          </w:tcPr>
          <w:p>
            <w:r>
              <w:t>13:00–13:30</w:t>
            </w:r>
          </w:p>
        </w:tc>
        <w:tc>
          <w:tcPr>
            <w:tcW w:type="dxa" w:w="2160"/>
          </w:tcPr>
          <w:p>
            <w:r>
              <w:t>Summarize key formulas and create a one‑page cheat sheet for quick reference.</w:t>
            </w:r>
          </w:p>
        </w:tc>
        <w:tc>
          <w:tcPr>
            <w:tcW w:type="dxa" w:w="2160"/>
          </w:tcPr>
          <w:p>
            <w:r>
              <w:t>Medium</w:t>
            </w:r>
          </w:p>
        </w:tc>
        <w:tc>
          <w:tcPr>
            <w:tcW w:type="dxa" w:w="2160"/>
          </w:tcPr>
          <w:p>
            <w:r>
              <w:t>0.5 h</w:t>
            </w:r>
          </w:p>
        </w:tc>
      </w:tr>
      <w:tr>
        <w:tc>
          <w:tcPr>
            <w:tcW w:type="dxa" w:w="2160"/>
          </w:tcPr>
          <w:p>
            <w:r>
              <w:t>14:00–15:00</w:t>
            </w:r>
          </w:p>
        </w:tc>
        <w:tc>
          <w:tcPr>
            <w:tcW w:type="dxa" w:w="2160"/>
          </w:tcPr>
          <w:p>
            <w:r>
              <w:t>Complete a set of multiple‑choice questions from past quizzes to test conceptual understanding.</w:t>
            </w:r>
          </w:p>
        </w:tc>
        <w:tc>
          <w:tcPr>
            <w:tcW w:type="dxa" w:w="2160"/>
          </w:tcPr>
          <w:p>
            <w:r>
              <w:t>Low</w:t>
            </w:r>
          </w:p>
        </w:tc>
        <w:tc>
          <w:tcPr>
            <w:tcW w:type="dxa" w:w="2160"/>
          </w:tcPr>
          <w:p>
            <w:r>
              <w:t>1.0 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