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Priority Todo List</w:t>
      </w:r>
    </w:p>
    <w:p>
      <w:r>
        <w:rPr>
          <w:b w:val="0"/>
          <w:i w:val="0"/>
        </w:rPr>
        <w:t>This section lists the actionable items required to develop the advanced study guide that compares electric field strength calculations using Coulomb's law and Gauss's law. Each task includes a complete description, the responsible owner, its priority, and the agreed due 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</w:tr>
      <w:tr>
        <w:tc>
          <w:tcPr>
            <w:tcW w:type="dxa" w:w="1728"/>
          </w:tcPr>
          <w:p>
            <w:r>
              <w:t>Research theoretical background</w:t>
            </w:r>
          </w:p>
        </w:tc>
        <w:tc>
          <w:tcPr>
            <w:tcW w:type="dxa" w:w="1728"/>
          </w:tcPr>
          <w:p>
            <w:r>
              <w:t>Compile detailed explanations of Coulomb's law and Gauss's law, highlighting their assumptions and domains of applicability.</w:t>
            </w:r>
          </w:p>
        </w:tc>
        <w:tc>
          <w:tcPr>
            <w:tcW w:type="dxa" w:w="1728"/>
          </w:tcPr>
          <w:p>
            <w:r>
              <w:t>Dr. Nguyen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15 days from project start.</w:t>
            </w:r>
          </w:p>
        </w:tc>
      </w:tr>
      <w:tr>
        <w:tc>
          <w:tcPr>
            <w:tcW w:type="dxa" w:w="1728"/>
          </w:tcPr>
          <w:p>
            <w:r>
              <w:t>Create practical examples</w:t>
            </w:r>
          </w:p>
        </w:tc>
        <w:tc>
          <w:tcPr>
            <w:tcW w:type="dxa" w:w="1728"/>
          </w:tcPr>
          <w:p>
            <w:r>
              <w:t>Develop at least three charge configurations (point charges, line charge, and spherical distribution) and calculate the electric field using both laws for each case.</w:t>
            </w:r>
          </w:p>
        </w:tc>
        <w:tc>
          <w:tcPr>
            <w:tcW w:type="dxa" w:w="1728"/>
          </w:tcPr>
          <w:p>
            <w:r>
              <w:t>Maya Patel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15 days from project start.</w:t>
            </w:r>
          </w:p>
        </w:tc>
      </w:tr>
      <w:tr>
        <w:tc>
          <w:tcPr>
            <w:tcW w:type="dxa" w:w="1728"/>
          </w:tcPr>
          <w:p>
            <w:r>
              <w:t>Draft comparison matrix</w:t>
            </w:r>
          </w:p>
        </w:tc>
        <w:tc>
          <w:tcPr>
            <w:tcW w:type="dxa" w:w="1728"/>
          </w:tcPr>
          <w:p>
            <w:r>
              <w:t>Summarize the advantages, limitations, and computational effort of each method in a side‑by‑side matrix.</w:t>
            </w:r>
          </w:p>
        </w:tc>
        <w:tc>
          <w:tcPr>
            <w:tcW w:type="dxa" w:w="1728"/>
          </w:tcPr>
          <w:p>
            <w:r>
              <w:t>Luis Ortega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15 days from project start.</w:t>
            </w:r>
          </w:p>
        </w:tc>
      </w:tr>
      <w:tr>
        <w:tc>
          <w:tcPr>
            <w:tcW w:type="dxa" w:w="1728"/>
          </w:tcPr>
          <w:p>
            <w:r>
              <w:t>Review and edit guide</w:t>
            </w:r>
          </w:p>
        </w:tc>
        <w:tc>
          <w:tcPr>
            <w:tcW w:type="dxa" w:w="1728"/>
          </w:tcPr>
          <w:p>
            <w:r>
              <w:t>Perform a technical review for accuracy, consistency, and clarity, then incorporate reviewer feedback.</w:t>
            </w:r>
          </w:p>
        </w:tc>
        <w:tc>
          <w:tcPr>
            <w:tcW w:type="dxa" w:w="1728"/>
          </w:tcPr>
          <w:p>
            <w:r>
              <w:t>Sofia Lee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15 days from project start.</w:t>
            </w:r>
          </w:p>
        </w:tc>
      </w:tr>
      <w:tr>
        <w:tc>
          <w:tcPr>
            <w:tcW w:type="dxa" w:w="1728"/>
          </w:tcPr>
          <w:p>
            <w:r>
              <w:t>Publish final document</w:t>
            </w:r>
          </w:p>
        </w:tc>
        <w:tc>
          <w:tcPr>
            <w:tcW w:type="dxa" w:w="1728"/>
          </w:tcPr>
          <w:p>
            <w:r>
              <w:t>Convert the guide to PDF and upload to the shared repository with appropriate version control tags.</w:t>
            </w:r>
          </w:p>
        </w:tc>
        <w:tc>
          <w:tcPr>
            <w:tcW w:type="dxa" w:w="1728"/>
          </w:tcPr>
          <w:p>
            <w:r>
              <w:t>Team Lead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