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2"/>
      </w:pPr>
      <w:r>
        <w:t>Day 1 – Electric Field Fundamentals</w:t>
      </w:r>
    </w:p>
    <w:p>
      <w:r>
        <w:rPr>
          <w:b w:val="0"/>
          <w:i w:val="0"/>
        </w:rPr>
        <w:t>The first day focuses on establishing a solid understanding of electric fields, which are foundational for all topics in electrostatics.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Priority</w:t>
            </w:r>
          </w:p>
        </w:tc>
      </w:tr>
      <w:tr>
        <w:tc>
          <w:tcPr>
            <w:tcW w:type="dxa" w:w="4320"/>
          </w:tcPr>
          <w:p>
            <w:r>
              <w:t>Review the definition of the electric field and its vector nature.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Derive the relationship between electric field and electric force using Coulomb’s law.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Solve three practice problems that require calculating the electric field of point charges.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Watch the 15‑minute video lecture on electric field lines and sketch representative diagrams.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Summarize the key concepts in a one‑page note for future reference.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</w:tbl>
    <w:p>
      <w:r>
        <w:rPr>
          <w:b w:val="0"/>
          <w:i w:val="0"/>
        </w:rPr>
        <w:t>All tasks should be completed by the end of Day 1 (2026‑07‑14). Completing these tasks will provide a comprehensive grasp of electric‑field fundamentals.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