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spacing w:before="0" w:after="0" w:line="259" w:lineRule="auto"/>
      </w:pPr>
      <w:r>
        <w:rPr>
          <w:rFonts w:ascii="Noto Kufi Arabic" w:hAnsi="Noto Kufi Arabic" w:cs="Noto Kufi Arabic" w:eastAsia="Noto Kufi Arabic"/>
          <w:color w:val="5A5A5A"/>
          <w:sz w:val="22"/>
          <w:szCs w:val="22"/>
          <w:rtl/>
          <w:lang w:bidi="ar-SA"/>
        </w:rPr>
        <w:t>المملكة العربية السعودية</w:t>
      </w:r>
    </w:p>
    <w:p>
      <w:pPr>
        <w:bidi/>
        <w:jc w:val="center"/>
        <w:spacing w:before="0" w:after="0" w:line="259" w:lineRule="auto"/>
      </w:pPr>
      <w:r>
        <w:rPr>
          <w:rFonts w:ascii="Noto Kufi Arabic" w:hAnsi="Noto Kufi Arabic" w:cs="Noto Kufi Arabic" w:eastAsia="Noto Kufi Arabic"/>
          <w:color w:val="5A5A5A"/>
          <w:sz w:val="22"/>
          <w:szCs w:val="22"/>
          <w:rtl/>
          <w:lang w:bidi="ar-SA"/>
        </w:rPr>
        <w:t>وزارة التعليم</w:t>
      </w:r>
    </w:p>
    <w:p>
      <w:pPr>
        <w:bidi/>
        <w:jc w:val="center"/>
        <w:spacing w:before="80" w:after="80" w:line="259" w:lineRule="auto"/>
      </w:pPr>
      <w:r>
        <w:drawing>
          <wp:inline xmlns:a="http://schemas.openxmlformats.org/drawingml/2006/main" xmlns:pic="http://schemas.openxmlformats.org/drawingml/2006/picture">
            <wp:extent cx="1440000" cy="1485909"/>
            <wp:docPr id="1" name="Picture 1"/>
            <wp:cNvGraphicFramePr>
              <a:graphicFrameLocks noChangeAspect="1"/>
            </wp:cNvGraphicFramePr>
            <a:graphic>
              <a:graphicData uri="http://schemas.openxmlformats.org/drawingml/2006/picture">
                <pic:pic>
                  <pic:nvPicPr>
                    <pic:cNvPr id="0" name="bu_logo.png"/>
                    <pic:cNvPicPr/>
                  </pic:nvPicPr>
                  <pic:blipFill>
                    <a:blip r:embed="rId9"/>
                    <a:stretch>
                      <a:fillRect/>
                    </a:stretch>
                  </pic:blipFill>
                  <pic:spPr>
                    <a:xfrm>
                      <a:off x="0" y="0"/>
                      <a:ext cx="1440000" cy="1485909"/>
                    </a:xfrm>
                    <a:prstGeom prst="rect"/>
                  </pic:spPr>
                </pic:pic>
              </a:graphicData>
            </a:graphic>
          </wp:inline>
        </w:drawing>
      </w:r>
    </w:p>
    <w:p>
      <w:pPr>
        <w:bidi/>
        <w:jc w:val="center"/>
        <w:spacing w:before="0" w:after="0" w:line="259" w:lineRule="auto"/>
      </w:pPr>
      <w:r>
        <w:rPr>
          <w:rFonts w:ascii="Noto Kufi Arabic" w:hAnsi="Noto Kufi Arabic" w:cs="Noto Kufi Arabic" w:eastAsia="Noto Kufi Arabic"/>
          <w:b/>
          <w:bCs/>
          <w:color w:val="1F2A6B"/>
          <w:sz w:val="36"/>
          <w:szCs w:val="36"/>
          <w:rtl/>
          <w:lang w:bidi="ar-SA"/>
        </w:rPr>
        <w:t>جامعة الباحة</w:t>
      </w:r>
    </w:p>
    <w:p>
      <w:pPr>
        <w:bidi/>
        <w:jc w:val="center"/>
        <w:spacing w:before="0" w:after="80" w:line="259" w:lineRule="auto"/>
      </w:pPr>
      <w:r>
        <w:rPr>
          <w:rFonts w:ascii="Noto Kufi Arabic" w:hAnsi="Noto Kufi Arabic" w:cs="Noto Kufi Arabic" w:eastAsia="Noto Kufi Arabic"/>
          <w:color w:val="5A5A5A"/>
          <w:sz w:val="20"/>
          <w:szCs w:val="20"/>
          <w:rtl/>
          <w:lang w:bidi="ar-SA"/>
        </w:rPr>
        <w:t>Al-Baha University</w:t>
      </w:r>
    </w:p>
    <w:p>
      <w:pPr>
        <w:bidi/>
        <w:jc w:val="center"/>
        <w:spacing w:before="0" w:after="160" w:line="240" w:lineRule="auto"/>
        <w:pBdr>
          <w:bottom w:val="single" w:sz="18" w:space="1" w:color="7FB539"/>
        </w:pBdr>
      </w:pPr>
    </w:p>
    <w:tbl>
      <w:tblPr>
        <w:tblW w:type="auto" w:w="0"/>
        <w:jc w:val="center"/>
        <w:tblLayout w:type="fixed"/>
        <w:tblLook w:firstColumn="1" w:firstRow="1" w:lastColumn="0" w:lastRow="0" w:noHBand="0" w:noVBand="1" w:val="04A0"/>
        <w:bidiVisual/>
        <w:tblLayout w:type="fixed"/>
      </w:tblPr>
      <w:tblGrid>
        <w:gridCol w:w="5103"/>
      </w:tblGrid>
      <w:tr>
        <w:trPr>
          <w:cantSplit/>
        </w:trPr>
        <w:tc>
          <w:tcPr>
            <w:tcW w:type="dxa" w:w="5102"/>
            <w:tcBorders>
              <w:top w:val="nil"/>
              <w:left w:val="nil"/>
              <w:bottom w:val="nil"/>
              <w:right w:val="nil"/>
            </w:tcBorders>
            <w:shd w:val="clear" w:color="auto" w:fill="F4F8EE"/>
            <w:tcBorders>
              <w:top w:val="single" w:sz="8" w:space="0" w:color="7FB539"/>
              <w:left w:val="single" w:sz="8" w:space="0" w:color="7FB539"/>
              <w:bottom w:val="single" w:sz="8" w:space="0" w:color="7FB539"/>
              <w:right w:val="single" w:sz="8" w:space="0" w:color="7FB539"/>
            </w:tcBorders>
            <w:tcMar>
              <w:top w:w="50" w:type="dxa"/>
              <w:left w:w="200" w:type="dxa"/>
              <w:bottom w:w="50" w:type="dxa"/>
              <w:right w:w="200" w:type="dxa"/>
            </w:tcMar>
          </w:tcPr>
          <w:p>
            <w:pPr>
              <w:bidi/>
              <w:jc w:val="center"/>
              <w:spacing w:before="0" w:after="0" w:line="264" w:lineRule="auto"/>
            </w:pPr>
            <w:r>
              <w:rPr>
                <w:rFonts w:ascii="Noto Kufi Arabic" w:hAnsi="Noto Kufi Arabic" w:cs="Noto Kufi Arabic" w:eastAsia="Noto Kufi Arabic"/>
                <w:b/>
                <w:bCs/>
                <w:color w:val="1F2A6B"/>
                <w:sz w:val="24"/>
                <w:szCs w:val="24"/>
                <w:rtl/>
                <w:lang w:bidi="ar-SA"/>
              </w:rPr>
              <w:t>مقرر: ريادة الأعمال</w:t>
            </w:r>
          </w:p>
        </w:tc>
      </w:tr>
    </w:tbl>
    <w:p>
      <w:pPr>
        <w:bidi/>
        <w:jc w:val="both"/>
        <w:spacing w:before="0" w:after="0" w:line="120" w:lineRule="auto"/>
      </w:pPr>
    </w:p>
    <w:tbl>
      <w:tblPr>
        <w:tblW w:type="auto" w:w="0"/>
        <w:jc w:val="center"/>
        <w:tblLayout w:type="fixed"/>
        <w:tblLook w:firstColumn="1" w:firstRow="1" w:lastColumn="0" w:lastRow="0" w:noHBand="0" w:noVBand="1" w:val="04A0"/>
        <w:bidiVisual/>
        <w:tblLayout w:type="fixed"/>
      </w:tblPr>
      <w:tblGrid>
        <w:gridCol w:w="9639"/>
      </w:tblGrid>
      <w:tr>
        <w:trPr>
          <w:cantSplit/>
        </w:trPr>
        <w:tc>
          <w:tcPr>
            <w:tcW w:type="dxa" w:w="9638"/>
            <w:tcBorders>
              <w:top w:val="nil"/>
              <w:left w:val="nil"/>
              <w:bottom w:val="nil"/>
              <w:right w:val="nil"/>
            </w:tcBorders>
            <w:shd w:val="clear" w:color="auto" w:fill="1F2A6B"/>
            <w:tcMar>
              <w:top w:w="140" w:type="dxa"/>
              <w:left w:w="300" w:type="dxa"/>
              <w:bottom w:w="140" w:type="dxa"/>
              <w:right w:w="300" w:type="dxa"/>
            </w:tcMar>
          </w:tcPr>
          <w:p>
            <w:pPr>
              <w:bidi/>
              <w:jc w:val="center"/>
              <w:spacing w:before="0" w:after="120" w:line="264" w:lineRule="auto"/>
            </w:pPr>
            <w:r>
              <w:rPr>
                <w:rFonts w:ascii="Noto Kufi Arabic" w:hAnsi="Noto Kufi Arabic" w:cs="Noto Kufi Arabic" w:eastAsia="Noto Kufi Arabic"/>
                <w:b/>
                <w:bCs/>
                <w:color w:val="FFFFFF"/>
                <w:sz w:val="44"/>
                <w:szCs w:val="44"/>
                <w:rtl/>
                <w:lang w:bidi="ar-SA"/>
              </w:rPr>
              <w:t>الواجب الأول</w:t>
            </w:r>
          </w:p>
          <w:p>
            <w:pPr>
              <w:bidi/>
              <w:jc w:val="center"/>
              <w:spacing w:before="0" w:after="160" w:line="264" w:lineRule="auto"/>
            </w:pPr>
            <w:r>
              <w:rPr>
                <w:rFonts w:ascii="Noto Kufi Arabic" w:hAnsi="Noto Kufi Arabic" w:cs="Noto Kufi Arabic" w:eastAsia="Noto Kufi Arabic"/>
                <w:color w:val="CFE6F6"/>
                <w:sz w:val="32"/>
                <w:szCs w:val="32"/>
                <w:rtl/>
                <w:lang w:bidi="ar-SA"/>
              </w:rPr>
              <w:t>دراسة حالة تطبيقية</w:t>
            </w:r>
          </w:p>
          <w:p>
            <w:pPr>
              <w:bidi/>
              <w:jc w:val="center"/>
              <w:spacing w:before="0" w:after="80" w:line="240" w:lineRule="auto"/>
            </w:pPr>
            <w:r>
              <w:rPr>
                <w:rFonts w:ascii="Noto Naskh Arabic" w:hAnsi="Noto Naskh Arabic" w:cs="Noto Naskh Arabic" w:eastAsia="Noto Naskh Arabic"/>
                <w:color w:val="7FB539"/>
                <w:sz w:val="20"/>
                <w:szCs w:val="20"/>
                <w:rtl/>
                <w:lang w:bidi="ar-SA"/>
              </w:rPr>
              <w:t>━━━━━━━━━━━━━━</w:t>
            </w:r>
          </w:p>
          <w:p>
            <w:pPr>
              <w:bidi/>
              <w:jc w:val="center"/>
              <w:spacing w:before="0" w:after="80" w:line="300" w:lineRule="auto"/>
            </w:pPr>
            <w:r>
              <w:rPr>
                <w:rFonts w:ascii="Noto Kufi Arabic" w:hAnsi="Noto Kufi Arabic" w:cs="Noto Kufi Arabic" w:eastAsia="Noto Kufi Arabic"/>
                <w:b/>
                <w:bCs/>
                <w:color w:val="FFFFFF"/>
                <w:sz w:val="32"/>
                <w:szCs w:val="32"/>
                <w:rtl/>
                <w:lang w:bidi="ar-SA"/>
              </w:rPr>
              <w:t>اكتشاف الفرصة الريادية وتحويلها إلى مشروع</w:t>
            </w:r>
          </w:p>
          <w:p>
            <w:pPr>
              <w:bidi/>
              <w:jc w:val="center"/>
              <w:spacing w:before="0" w:after="0" w:line="288" w:lineRule="auto"/>
            </w:pPr>
            <w:r>
              <w:rPr>
                <w:rFonts w:ascii="Noto Kufi Arabic" w:hAnsi="Noto Kufi Arabic" w:cs="Noto Kufi Arabic" w:eastAsia="Noto Kufi Arabic"/>
                <w:b/>
                <w:bCs/>
                <w:color w:val="A9D65C"/>
                <w:sz w:val="40"/>
                <w:szCs w:val="40"/>
                <w:rtl/>
                <w:lang w:bidi="ar-SA"/>
              </w:rPr>
              <w:t>«وقت القهوة»</w:t>
            </w:r>
          </w:p>
        </w:tc>
      </w:tr>
    </w:tbl>
    <w:p>
      <w:pPr>
        <w:bidi/>
        <w:jc w:val="both"/>
        <w:spacing w:before="0" w:after="0" w:line="144" w:lineRule="auto"/>
      </w:pPr>
    </w:p>
    <w:tbl>
      <w:tblPr>
        <w:tblW w:type="auto" w:w="0"/>
        <w:jc w:val="center"/>
        <w:tblLayout w:type="fixed"/>
        <w:tblLook w:firstColumn="1" w:firstRow="1" w:lastColumn="0" w:lastRow="0" w:noHBand="0" w:noVBand="1" w:val="04A0"/>
        <w:bidiVisual/>
        <w:tblLayout w:type="fixed"/>
      </w:tblPr>
      <w:tblGrid>
        <w:gridCol w:w="2608"/>
        <w:gridCol w:w="7030"/>
      </w:tblGrid>
      <w:tr>
        <w:trPr>
          <w:cantSplit/>
        </w:trPr>
        <w:tc>
          <w:tcPr>
            <w:tcW w:type="dxa" w:w="2608"/>
            <w:tcBorders>
              <w:top w:val="nil"/>
              <w:left w:val="nil"/>
              <w:bottom w:val="nil"/>
              <w:right w:val="nil"/>
            </w:tcBorders>
            <w:shd w:val="clear" w:color="auto" w:fill="EEF3FA"/>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1F2A6B"/>
                <w:sz w:val="24"/>
                <w:szCs w:val="24"/>
                <w:rtl/>
                <w:lang w:bidi="ar-SA"/>
              </w:rPr>
              <w:t>اسم الطالبة</w:t>
            </w:r>
          </w:p>
        </w:tc>
        <w:tc>
          <w:tcPr>
            <w:tcW w:type="dxa" w:w="7030"/>
            <w:tcBorders>
              <w:top w:val="nil"/>
              <w:left w:val="nil"/>
              <w:bottom w:val="nil"/>
              <w:right w:val="nil"/>
            </w:tcBorders>
            <w:shd w:val="clear" w:color="auto" w:fill="FFFFFF"/>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222222"/>
                <w:sz w:val="25"/>
                <w:szCs w:val="25"/>
                <w:rtl/>
                <w:lang w:bidi="ar-SA"/>
              </w:rPr>
              <w:t>رهف محمد الزهراني</w:t>
            </w:r>
          </w:p>
        </w:tc>
      </w:tr>
      <w:tr>
        <w:trPr>
          <w:cantSplit/>
        </w:trPr>
        <w:tc>
          <w:tcPr>
            <w:tcW w:type="dxa" w:w="2608"/>
            <w:tcBorders>
              <w:top w:val="nil"/>
              <w:left w:val="nil"/>
              <w:bottom w:val="nil"/>
              <w:right w:val="nil"/>
            </w:tcBorders>
            <w:shd w:val="clear" w:color="auto" w:fill="EEF3FA"/>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1F2A6B"/>
                <w:sz w:val="24"/>
                <w:szCs w:val="24"/>
                <w:rtl/>
                <w:lang w:bidi="ar-SA"/>
              </w:rPr>
              <w:t>الرقم الجامعي</w:t>
            </w:r>
          </w:p>
        </w:tc>
        <w:tc>
          <w:tcPr>
            <w:tcW w:type="dxa" w:w="7030"/>
            <w:tcBorders>
              <w:top w:val="nil"/>
              <w:left w:val="nil"/>
              <w:bottom w:val="nil"/>
              <w:right w:val="nil"/>
            </w:tcBorders>
            <w:shd w:val="clear" w:color="auto" w:fill="FFFFFF"/>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Naskh Arabic" w:hAnsi="Noto Naskh Arabic" w:cs="Noto Naskh Arabic" w:eastAsia="Noto Naskh Arabic"/>
                <w:color w:val="8A8A8A"/>
                <w:sz w:val="25"/>
                <w:szCs w:val="25"/>
                <w:rtl/>
                <w:lang w:bidi="ar-SA"/>
              </w:rPr>
              <w:t>[يُضاف الرقم الجامعي]</w:t>
            </w:r>
          </w:p>
        </w:tc>
      </w:tr>
      <w:tr>
        <w:trPr>
          <w:cantSplit/>
        </w:trPr>
        <w:tc>
          <w:tcPr>
            <w:tcW w:type="dxa" w:w="2608"/>
            <w:tcBorders>
              <w:top w:val="nil"/>
              <w:left w:val="nil"/>
              <w:bottom w:val="nil"/>
              <w:right w:val="nil"/>
            </w:tcBorders>
            <w:shd w:val="clear" w:color="auto" w:fill="EEF3FA"/>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1F2A6B"/>
                <w:sz w:val="24"/>
                <w:szCs w:val="24"/>
                <w:rtl/>
                <w:lang w:bidi="ar-SA"/>
              </w:rPr>
              <w:t>الشعبة</w:t>
            </w:r>
          </w:p>
        </w:tc>
        <w:tc>
          <w:tcPr>
            <w:tcW w:type="dxa" w:w="7030"/>
            <w:tcBorders>
              <w:top w:val="nil"/>
              <w:left w:val="nil"/>
              <w:bottom w:val="nil"/>
              <w:right w:val="nil"/>
            </w:tcBorders>
            <w:shd w:val="clear" w:color="auto" w:fill="FFFFFF"/>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Naskh Arabic" w:hAnsi="Noto Naskh Arabic" w:cs="Noto Naskh Arabic" w:eastAsia="Noto Naskh Arabic"/>
                <w:color w:val="8A8A8A"/>
                <w:sz w:val="25"/>
                <w:szCs w:val="25"/>
                <w:rtl/>
                <w:lang w:bidi="ar-SA"/>
              </w:rPr>
              <w:t>[تُضاف الشعبة]</w:t>
            </w:r>
          </w:p>
        </w:tc>
      </w:tr>
      <w:tr>
        <w:trPr>
          <w:cantSplit/>
        </w:trPr>
        <w:tc>
          <w:tcPr>
            <w:tcW w:type="dxa" w:w="2608"/>
            <w:tcBorders>
              <w:top w:val="nil"/>
              <w:left w:val="nil"/>
              <w:bottom w:val="nil"/>
              <w:right w:val="nil"/>
            </w:tcBorders>
            <w:shd w:val="clear" w:color="auto" w:fill="EEF3FA"/>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1F2A6B"/>
                <w:sz w:val="24"/>
                <w:szCs w:val="24"/>
                <w:rtl/>
                <w:lang w:bidi="ar-SA"/>
              </w:rPr>
              <w:t>المقرر</w:t>
            </w:r>
          </w:p>
        </w:tc>
        <w:tc>
          <w:tcPr>
            <w:tcW w:type="dxa" w:w="7030"/>
            <w:tcBorders>
              <w:top w:val="nil"/>
              <w:left w:val="nil"/>
              <w:bottom w:val="nil"/>
              <w:right w:val="nil"/>
            </w:tcBorders>
            <w:shd w:val="clear" w:color="auto" w:fill="FFFFFF"/>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222222"/>
                <w:sz w:val="25"/>
                <w:szCs w:val="25"/>
                <w:rtl/>
                <w:lang w:bidi="ar-SA"/>
              </w:rPr>
              <w:t>ريادة الأعمال</w:t>
            </w:r>
          </w:p>
        </w:tc>
      </w:tr>
      <w:tr>
        <w:trPr>
          <w:cantSplit/>
        </w:trPr>
        <w:tc>
          <w:tcPr>
            <w:tcW w:type="dxa" w:w="2608"/>
            <w:tcBorders>
              <w:top w:val="nil"/>
              <w:left w:val="nil"/>
              <w:bottom w:val="nil"/>
              <w:right w:val="nil"/>
            </w:tcBorders>
            <w:shd w:val="clear" w:color="auto" w:fill="EEF3FA"/>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1F2A6B"/>
                <w:sz w:val="24"/>
                <w:szCs w:val="24"/>
                <w:rtl/>
                <w:lang w:bidi="ar-SA"/>
              </w:rPr>
              <w:t>إعداد</w:t>
            </w:r>
          </w:p>
        </w:tc>
        <w:tc>
          <w:tcPr>
            <w:tcW w:type="dxa" w:w="7030"/>
            <w:tcBorders>
              <w:top w:val="nil"/>
              <w:left w:val="nil"/>
              <w:bottom w:val="nil"/>
              <w:right w:val="nil"/>
            </w:tcBorders>
            <w:shd w:val="clear" w:color="auto" w:fill="FFFFFF"/>
            <w:tcBorders>
              <w:top w:val="single" w:sz="4" w:space="0" w:color="C9D3E3"/>
              <w:left w:val="single" w:sz="4" w:space="0" w:color="C9D3E3"/>
              <w:bottom w:val="single" w:sz="4" w:space="0" w:color="C9D3E3"/>
              <w:right w:val="single" w:sz="4" w:space="0" w:color="C9D3E3"/>
            </w:tcBorders>
            <w:tcMar>
              <w:top w:w="55" w:type="dxa"/>
              <w:left w:w="160" w:type="dxa"/>
              <w:bottom w:w="55" w:type="dxa"/>
              <w:right w:w="160" w:type="dxa"/>
            </w:tcMar>
            <w:vAlign w:val="center"/>
          </w:tcPr>
          <w:p>
            <w:pPr>
              <w:bidi/>
              <w:jc w:val="right"/>
              <w:spacing w:before="0" w:after="0" w:line="264" w:lineRule="auto"/>
            </w:pPr>
            <w:r>
              <w:rPr>
                <w:rFonts w:ascii="Noto Kufi Arabic" w:hAnsi="Noto Kufi Arabic" w:cs="Noto Kufi Arabic" w:eastAsia="Noto Kufi Arabic"/>
                <w:b/>
                <w:bCs/>
                <w:color w:val="222222"/>
                <w:sz w:val="25"/>
                <w:szCs w:val="25"/>
                <w:rtl/>
                <w:lang w:bidi="ar-SA"/>
              </w:rPr>
              <w:t>أ.د. نورة الزهراني</w:t>
            </w:r>
          </w:p>
        </w:tc>
      </w:tr>
    </w:tbl>
    <w:p>
      <w:pPr>
        <w:bidi/>
        <w:jc w:val="center"/>
        <w:spacing w:before="80" w:after="40" w:line="240" w:lineRule="auto"/>
        <w:pBdr>
          <w:bottom w:val="single" w:sz="6" w:space="1" w:color="D5DCE8"/>
        </w:pBdr>
      </w:pPr>
    </w:p>
    <w:p>
      <w:pPr>
        <w:bidi/>
        <w:jc w:val="center"/>
        <w:spacing w:before="0" w:after="0" w:line="259" w:lineRule="auto"/>
      </w:pPr>
      <w:r>
        <w:rPr>
          <w:rFonts w:ascii="Noto Kufi Arabic" w:hAnsi="Noto Kufi Arabic" w:cs="Noto Kufi Arabic" w:eastAsia="Noto Kufi Arabic"/>
          <w:color w:val="5A5A5A"/>
          <w:sz w:val="22"/>
          <w:szCs w:val="22"/>
          <w:rtl/>
          <w:lang w:bidi="ar-SA"/>
        </w:rPr>
        <w:t>الفصل الدراسي الأول – العام الجامعي 1448هـ / 2026م</w:t>
      </w:r>
    </w:p>
    <w:p>
      <w:pPr>
        <w:sectPr>
          <w:pgSz w:w="11906" w:h="16838"/>
          <w:pgMar w:top="850" w:right="1134" w:bottom="737" w:left="1134" w:header="567" w:footer="510" w:gutter="0"/>
          <w:cols w:space="720"/>
          <w:docGrid w:linePitch="360"/>
          <w:bidi/>
          <w:pgBorders w:offsetFrom="page">
            <w:top w:val="double" w:sz="18" w:space="20" w:color="1F2A6B"/>
            <w:left w:val="double" w:sz="18" w:space="20" w:color="1F2A6B"/>
            <w:bottom w:val="double" w:sz="18" w:space="20" w:color="1F2A6B"/>
            <w:right w:val="double" w:sz="18" w:space="20" w:color="1F2A6B"/>
          </w:pgBorders>
        </w:sectPr>
      </w:pPr>
    </w:p>
    <w:p>
      <w:pPr>
        <w:bidi/>
        <w:keepNext/>
        <w:jc w:val="right"/>
        <w:spacing w:before="0" w:after="40" w:line="264" w:lineRule="auto"/>
      </w:pPr>
      <w:r>
        <w:rPr>
          <w:rFonts w:ascii="Noto Kufi Arabic" w:hAnsi="Noto Kufi Arabic" w:cs="Noto Kufi Arabic" w:eastAsia="Noto Kufi Arabic"/>
          <w:color w:val="7FB539"/>
          <w:sz w:val="26"/>
          <w:szCs w:val="26"/>
          <w:rtl/>
          <w:lang w:bidi="ar-SA"/>
        </w:rPr>
        <w:t xml:space="preserve">▌ </w:t>
      </w:r>
      <w:r>
        <w:rPr>
          <w:rFonts w:ascii="Noto Kufi Arabic" w:hAnsi="Noto Kufi Arabic" w:cs="Noto Kufi Arabic" w:eastAsia="Noto Kufi Arabic"/>
          <w:b/>
          <w:bCs/>
          <w:color w:val="1F2A6B"/>
          <w:sz w:val="26"/>
          <w:szCs w:val="26"/>
          <w:rtl/>
          <w:lang w:bidi="ar-SA"/>
        </w:rPr>
        <w:t>أولًا: بطاقة الحالة الدراسية</w:t>
      </w:r>
    </w:p>
    <w:p>
      <w:pPr>
        <w:bidi/>
        <w:jc w:val="center"/>
        <w:spacing w:before="0" w:after="80" w:line="240" w:lineRule="auto"/>
        <w:pBdr>
          <w:bottom w:val="single" w:sz="6" w:space="1" w:color="D5DCE8"/>
        </w:pBdr>
      </w:pPr>
    </w:p>
    <w:p>
      <w:pPr>
        <w:bidi/>
        <w:jc w:val="both"/>
        <w:spacing w:before="0" w:after="120" w:line="259" w:lineRule="auto"/>
      </w:pPr>
      <w:r>
        <w:rPr>
          <w:rFonts w:ascii="Noto Naskh Arabic" w:hAnsi="Noto Naskh Arabic" w:cs="Noto Naskh Arabic" w:eastAsia="Noto Naskh Arabic"/>
          <w:sz w:val="22"/>
          <w:szCs w:val="22"/>
          <w:rtl/>
          <w:lang w:bidi="ar-SA"/>
        </w:rPr>
        <w:t>تلخص هذه البطاقة حالة مشروع «وقت القهوة» الذي أسسته الطالبة ريم، وتجمع المؤشرات التي تُبنى عليها الإجابات التحليلية التالية؛ إذ تنطلق كل إجابة من تفاصيل الحالة، ثم تربطها بالمفهوم الريادي المناسب، ثم تستخلص دلالة القرار المتخذ.</w:t>
      </w:r>
    </w:p>
    <w:tbl>
      <w:tblPr>
        <w:tblW w:type="auto" w:w="0"/>
        <w:jc w:val="center"/>
        <w:tblLayout w:type="fixed"/>
        <w:tblLook w:firstColumn="1" w:firstRow="1" w:lastColumn="0" w:lastRow="0" w:noHBand="0" w:noVBand="1" w:val="04A0"/>
        <w:bidiVisual/>
        <w:tblLayout w:type="fixed"/>
      </w:tblPr>
      <w:tblGrid>
        <w:gridCol w:w="2381"/>
        <w:gridCol w:w="7257"/>
      </w:tblGrid>
      <w:tr>
        <w:trPr>
          <w:cantSplit/>
        </w:trPr>
        <w:tc>
          <w:tcPr>
            <w:tcW w:type="dxa" w:w="9638"/>
            <w:gridSpan w:val="2"/>
            <w:tcBorders>
              <w:top w:val="nil"/>
              <w:left w:val="nil"/>
              <w:bottom w:val="nil"/>
              <w:right w:val="nil"/>
            </w:tcBorders>
            <w:shd w:val="clear" w:color="auto" w:fill="1F2A6B"/>
            <w:tcMar>
              <w:top w:w="70" w:type="dxa"/>
              <w:left w:w="140" w:type="dxa"/>
              <w:bottom w:w="70" w:type="dxa"/>
              <w:right w:w="140" w:type="dxa"/>
            </w:tcMar>
          </w:tcPr>
          <w:p>
            <w:pPr>
              <w:bidi/>
              <w:jc w:val="right"/>
              <w:spacing w:before="0" w:after="0" w:line="264" w:lineRule="auto"/>
            </w:pPr>
            <w:r>
              <w:rPr>
                <w:rFonts w:ascii="Noto Kufi Arabic" w:hAnsi="Noto Kufi Arabic" w:cs="Noto Kufi Arabic" w:eastAsia="Noto Kufi Arabic"/>
                <w:b/>
                <w:bCs/>
                <w:color w:val="FFFFFF"/>
                <w:sz w:val="24"/>
                <w:szCs w:val="24"/>
                <w:rtl/>
                <w:lang w:bidi="ar-SA"/>
              </w:rPr>
              <w:t>المؤشرات الأساسية للحالة</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المشكلة الملحوظة</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ازدحام المقاهي القريبة من الجامعة وطول وقت الانتظار في أوقات الذروة، بما يؤدي إلى تأخر الطالبات والموظفات عن المحاضرات أو العمل.</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العملاء المستهدفون</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طالبات الجامعة والموظفات، إضافة إلى الموجودين بالقرب من موقع الجامعة.</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الحل المقترح</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عربة قهوة متنقلة بقائمة محدودة (القهوة السوداء، اللاتيه، الشاي، ومخبوزات بسيطة) مع خدمة طلب مسبق عبر رابط إلكتروني.</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القيمة المقترحة</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سرعة الخدمة، والسعر المناسب، وجودة المنتج، وتقليل وقت الانتظار.</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الميزة التنافسية</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الطلب المسبق وتحديد وقت الاستلام، مع موقع في مسار حركة العميلات بالقرب من الجامعة.</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طريقة البداية</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عربة واحدة وقائمة محدودة وميزانية تجريبية، ثم التوسع بعد إثبات الجدوى.</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نتائج الشهر الأول</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ذروة طلب من 7:30 إلى 10:00 صباحًا وذروة ثانية ظهرًا، وتركّز المبيعات في ثلاثة مشروبات، وضعف مبيعات بعض المنتجات.</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المخاطر المحتملة</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تذبذب الطلب، والمنافسة، وارتفاع تكلفة المواد، واختيار موقع غير مناسب.</w:t>
            </w:r>
          </w:p>
        </w:tc>
      </w:tr>
      <w:tr>
        <w:trPr>
          <w:cantSplit/>
        </w:trPr>
        <w:tc>
          <w:tcPr>
            <w:tcW w:type="dxa" w:w="238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right"/>
              <w:spacing w:before="0" w:after="0" w:line="264" w:lineRule="auto"/>
            </w:pPr>
            <w:r>
              <w:rPr>
                <w:rFonts w:ascii="Noto Kufi Arabic" w:hAnsi="Noto Kufi Arabic" w:cs="Noto Kufi Arabic" w:eastAsia="Noto Kufi Arabic"/>
                <w:b/>
                <w:bCs/>
                <w:color w:val="1F2A6B"/>
                <w:sz w:val="21"/>
                <w:szCs w:val="21"/>
                <w:rtl/>
                <w:lang w:bidi="ar-SA"/>
              </w:rPr>
              <w:t>فرص التطوير</w:t>
            </w:r>
          </w:p>
        </w:tc>
        <w:tc>
          <w:tcPr>
            <w:tcW w:type="dxa" w:w="7257"/>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120" w:type="dxa"/>
              <w:bottom w:w="50" w:type="dxa"/>
              <w:right w:w="120" w:type="dxa"/>
            </w:tcMar>
            <w:vAlign w:val="center"/>
          </w:tcPr>
          <w:p>
            <w:pPr>
              <w:bidi/>
              <w:jc w:val="both"/>
              <w:spacing w:before="0" w:after="0" w:line="264" w:lineRule="auto"/>
            </w:pPr>
            <w:r>
              <w:rPr>
                <w:rFonts w:ascii="Noto Naskh Arabic" w:hAnsi="Noto Naskh Arabic" w:cs="Noto Naskh Arabic" w:eastAsia="Noto Naskh Arabic"/>
                <w:sz w:val="21"/>
                <w:szCs w:val="21"/>
                <w:rtl/>
                <w:lang w:bidi="ar-SA"/>
              </w:rPr>
              <w:t>برامج الولاء، وتطوير الطلب الإلكتروني، وإضافة عربة ثانية، والتوسع إلى مواقع أخرى.</w:t>
            </w:r>
          </w:p>
        </w:tc>
      </w:tr>
    </w:tbl>
    <w:p>
      <w:pPr>
        <w:bidi/>
        <w:jc w:val="both"/>
        <w:spacing w:before="0" w:after="0" w:line="192" w:lineRule="auto"/>
      </w:pPr>
    </w:p>
    <w:p>
      <w:pPr>
        <w:bidi/>
        <w:keepNext/>
        <w:jc w:val="right"/>
        <w:spacing w:before="120" w:after="40" w:line="264" w:lineRule="auto"/>
      </w:pPr>
      <w:r>
        <w:rPr>
          <w:rFonts w:ascii="Noto Kufi Arabic" w:hAnsi="Noto Kufi Arabic" w:cs="Noto Kufi Arabic" w:eastAsia="Noto Kufi Arabic"/>
          <w:color w:val="7FB539"/>
          <w:sz w:val="26"/>
          <w:szCs w:val="26"/>
          <w:rtl/>
          <w:lang w:bidi="ar-SA"/>
        </w:rPr>
        <w:t xml:space="preserve">▌ </w:t>
      </w:r>
      <w:r>
        <w:rPr>
          <w:rFonts w:ascii="Noto Kufi Arabic" w:hAnsi="Noto Kufi Arabic" w:cs="Noto Kufi Arabic" w:eastAsia="Noto Kufi Arabic"/>
          <w:b/>
          <w:bCs/>
          <w:color w:val="1F2A6B"/>
          <w:sz w:val="26"/>
          <w:szCs w:val="26"/>
          <w:rtl/>
          <w:lang w:bidi="ar-SA"/>
        </w:rPr>
        <w:t>مسار ريم الريادي: من الملاحظة إلى التحسين</w:t>
      </w:r>
    </w:p>
    <w:p>
      <w:pPr>
        <w:bidi/>
        <w:jc w:val="center"/>
        <w:spacing w:before="0" w:after="80" w:line="240" w:lineRule="auto"/>
        <w:pBdr>
          <w:bottom w:val="single" w:sz="6" w:space="1" w:color="D5DCE8"/>
        </w:pBdr>
      </w:pPr>
    </w:p>
    <w:tbl>
      <w:tblPr>
        <w:tblW w:type="auto" w:w="0"/>
        <w:jc w:val="center"/>
        <w:tblLayout w:type="fixed"/>
        <w:tblLook w:firstColumn="1" w:firstRow="1" w:lastColumn="0" w:lastRow="0" w:noHBand="0" w:noVBand="1" w:val="04A0"/>
        <w:bidiVisual/>
        <w:tblLayout w:type="fixed"/>
      </w:tblPr>
      <w:tblGrid>
        <w:gridCol w:w="1927"/>
        <w:gridCol w:w="1927"/>
        <w:gridCol w:w="1927"/>
        <w:gridCol w:w="1927"/>
        <w:gridCol w:w="1927"/>
      </w:tblGrid>
      <w:tr>
        <w:trPr>
          <w:cantSplit/>
        </w:trPr>
        <w:tc>
          <w:tcPr>
            <w:tcW w:type="dxa" w:w="1928"/>
            <w:tcBorders>
              <w:top w:val="nil"/>
              <w:left w:val="nil"/>
              <w:bottom w:val="nil"/>
              <w:right w:val="nil"/>
            </w:tcBorders>
            <w:shd w:val="clear" w:color="auto" w:fill="1F2A6B"/>
            <w:tcMar>
              <w:top w:w="60" w:type="dxa"/>
              <w:left w:w="60" w:type="dxa"/>
              <w:bottom w:w="60" w:type="dxa"/>
              <w:right w:w="60" w:type="dxa"/>
            </w:tcMar>
            <w:vAlign w:val="center"/>
          </w:tcPr>
          <w:p>
            <w:pPr>
              <w:bidi/>
              <w:jc w:val="center"/>
              <w:spacing w:before="0" w:after="0" w:line="264" w:lineRule="auto"/>
            </w:pPr>
            <w:r>
              <w:rPr>
                <w:rFonts w:ascii="Noto Kufi Arabic" w:hAnsi="Noto Kufi Arabic" w:cs="Noto Kufi Arabic" w:eastAsia="Noto Kufi Arabic"/>
                <w:b/>
                <w:bCs/>
                <w:color w:val="FFFFFF"/>
                <w:sz w:val="22"/>
                <w:szCs w:val="22"/>
                <w:rtl/>
                <w:lang w:bidi="ar-SA"/>
              </w:rPr>
              <w:t>1. الملاحظة</w:t>
            </w:r>
          </w:p>
        </w:tc>
        <w:tc>
          <w:tcPr>
            <w:tcW w:type="dxa" w:w="1928"/>
            <w:tcBorders>
              <w:top w:val="nil"/>
              <w:left w:val="nil"/>
              <w:bottom w:val="nil"/>
              <w:right w:val="nil"/>
            </w:tcBorders>
            <w:shd w:val="clear" w:color="auto" w:fill="2AA7DF"/>
            <w:tcMar>
              <w:top w:w="60" w:type="dxa"/>
              <w:left w:w="60" w:type="dxa"/>
              <w:bottom w:w="60" w:type="dxa"/>
              <w:right w:w="60" w:type="dxa"/>
            </w:tcMar>
            <w:vAlign w:val="center"/>
          </w:tcPr>
          <w:p>
            <w:pPr>
              <w:bidi/>
              <w:jc w:val="center"/>
              <w:spacing w:before="0" w:after="0" w:line="264" w:lineRule="auto"/>
            </w:pPr>
            <w:r>
              <w:rPr>
                <w:rFonts w:ascii="Noto Kufi Arabic" w:hAnsi="Noto Kufi Arabic" w:cs="Noto Kufi Arabic" w:eastAsia="Noto Kufi Arabic"/>
                <w:b/>
                <w:bCs/>
                <w:color w:val="FFFFFF"/>
                <w:sz w:val="22"/>
                <w:szCs w:val="22"/>
                <w:rtl/>
                <w:lang w:bidi="ar-SA"/>
              </w:rPr>
              <w:t>2. التحقق</w:t>
            </w:r>
          </w:p>
        </w:tc>
        <w:tc>
          <w:tcPr>
            <w:tcW w:type="dxa" w:w="1928"/>
            <w:tcBorders>
              <w:top w:val="nil"/>
              <w:left w:val="nil"/>
              <w:bottom w:val="nil"/>
              <w:right w:val="nil"/>
            </w:tcBorders>
            <w:shd w:val="clear" w:color="auto" w:fill="1F2A6B"/>
            <w:tcMar>
              <w:top w:w="60" w:type="dxa"/>
              <w:left w:w="60" w:type="dxa"/>
              <w:bottom w:w="60" w:type="dxa"/>
              <w:right w:w="60" w:type="dxa"/>
            </w:tcMar>
            <w:vAlign w:val="center"/>
          </w:tcPr>
          <w:p>
            <w:pPr>
              <w:bidi/>
              <w:jc w:val="center"/>
              <w:spacing w:before="0" w:after="0" w:line="264" w:lineRule="auto"/>
            </w:pPr>
            <w:r>
              <w:rPr>
                <w:rFonts w:ascii="Noto Kufi Arabic" w:hAnsi="Noto Kufi Arabic" w:cs="Noto Kufi Arabic" w:eastAsia="Noto Kufi Arabic"/>
                <w:b/>
                <w:bCs/>
                <w:color w:val="FFFFFF"/>
                <w:sz w:val="22"/>
                <w:szCs w:val="22"/>
                <w:rtl/>
                <w:lang w:bidi="ar-SA"/>
              </w:rPr>
              <w:t>3. التصميم</w:t>
            </w:r>
          </w:p>
        </w:tc>
        <w:tc>
          <w:tcPr>
            <w:tcW w:type="dxa" w:w="1928"/>
            <w:tcBorders>
              <w:top w:val="nil"/>
              <w:left w:val="nil"/>
              <w:bottom w:val="nil"/>
              <w:right w:val="nil"/>
            </w:tcBorders>
            <w:shd w:val="clear" w:color="auto" w:fill="2AA7DF"/>
            <w:tcMar>
              <w:top w:w="60" w:type="dxa"/>
              <w:left w:w="60" w:type="dxa"/>
              <w:bottom w:w="60" w:type="dxa"/>
              <w:right w:w="60" w:type="dxa"/>
            </w:tcMar>
            <w:vAlign w:val="center"/>
          </w:tcPr>
          <w:p>
            <w:pPr>
              <w:bidi/>
              <w:jc w:val="center"/>
              <w:spacing w:before="0" w:after="0" w:line="264" w:lineRule="auto"/>
            </w:pPr>
            <w:r>
              <w:rPr>
                <w:rFonts w:ascii="Noto Kufi Arabic" w:hAnsi="Noto Kufi Arabic" w:cs="Noto Kufi Arabic" w:eastAsia="Noto Kufi Arabic"/>
                <w:b/>
                <w:bCs/>
                <w:color w:val="FFFFFF"/>
                <w:sz w:val="22"/>
                <w:szCs w:val="22"/>
                <w:rtl/>
                <w:lang w:bidi="ar-SA"/>
              </w:rPr>
              <w:t>4. التجربة</w:t>
            </w:r>
          </w:p>
        </w:tc>
        <w:tc>
          <w:tcPr>
            <w:tcW w:type="dxa" w:w="1928"/>
            <w:tcBorders>
              <w:top w:val="nil"/>
              <w:left w:val="nil"/>
              <w:bottom w:val="nil"/>
              <w:right w:val="nil"/>
            </w:tcBorders>
            <w:shd w:val="clear" w:color="auto" w:fill="1F2A6B"/>
            <w:tcMar>
              <w:top w:w="60" w:type="dxa"/>
              <w:left w:w="60" w:type="dxa"/>
              <w:bottom w:w="60" w:type="dxa"/>
              <w:right w:w="60" w:type="dxa"/>
            </w:tcMar>
            <w:vAlign w:val="center"/>
          </w:tcPr>
          <w:p>
            <w:pPr>
              <w:bidi/>
              <w:jc w:val="center"/>
              <w:spacing w:before="0" w:after="0" w:line="264" w:lineRule="auto"/>
            </w:pPr>
            <w:r>
              <w:rPr>
                <w:rFonts w:ascii="Noto Kufi Arabic" w:hAnsi="Noto Kufi Arabic" w:cs="Noto Kufi Arabic" w:eastAsia="Noto Kufi Arabic"/>
                <w:b/>
                <w:bCs/>
                <w:color w:val="FFFFFF"/>
                <w:sz w:val="22"/>
                <w:szCs w:val="22"/>
                <w:rtl/>
                <w:lang w:bidi="ar-SA"/>
              </w:rPr>
              <w:t>5. التحسين</w:t>
            </w:r>
          </w:p>
        </w:tc>
      </w:tr>
      <w:tr>
        <w:trPr>
          <w:cantSplit/>
        </w:trPr>
        <w:tc>
          <w:tcPr>
            <w:tcW w:type="dxa" w:w="192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70" w:type="dxa"/>
              <w:left w:w="70" w:type="dxa"/>
              <w:bottom w:w="70" w:type="dxa"/>
              <w:right w:w="70" w:type="dxa"/>
            </w:tcMar>
            <w:vAlign w:val="center"/>
          </w:tcPr>
          <w:p>
            <w:pPr>
              <w:bidi/>
              <w:jc w:val="center"/>
              <w:spacing w:before="0" w:after="0" w:line="264" w:lineRule="auto"/>
            </w:pPr>
            <w:r>
              <w:rPr>
                <w:rFonts w:ascii="Noto Naskh Arabic" w:hAnsi="Noto Naskh Arabic" w:cs="Noto Naskh Arabic" w:eastAsia="Noto Naskh Arabic"/>
                <w:sz w:val="19"/>
                <w:szCs w:val="19"/>
                <w:rtl/>
                <w:lang w:bidi="ar-SA"/>
              </w:rPr>
              <w:t>رصد الازدحام وطول الانتظار كنمط يومي متكرر</w:t>
            </w:r>
          </w:p>
        </w:tc>
        <w:tc>
          <w:tcPr>
            <w:tcW w:type="dxa" w:w="192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70" w:type="dxa"/>
              <w:left w:w="70" w:type="dxa"/>
              <w:bottom w:w="70" w:type="dxa"/>
              <w:right w:w="70" w:type="dxa"/>
            </w:tcMar>
            <w:vAlign w:val="center"/>
          </w:tcPr>
          <w:p>
            <w:pPr>
              <w:bidi/>
              <w:jc w:val="center"/>
              <w:spacing w:before="0" w:after="0" w:line="264" w:lineRule="auto"/>
            </w:pPr>
            <w:r>
              <w:rPr>
                <w:rFonts w:ascii="Noto Naskh Arabic" w:hAnsi="Noto Naskh Arabic" w:cs="Noto Naskh Arabic" w:eastAsia="Noto Naskh Arabic"/>
                <w:sz w:val="19"/>
                <w:szCs w:val="19"/>
                <w:rtl/>
                <w:lang w:bidi="ar-SA"/>
              </w:rPr>
              <w:t>استطلاع العميلات وزيارة المقاهي المنافسة</w:t>
            </w:r>
          </w:p>
        </w:tc>
        <w:tc>
          <w:tcPr>
            <w:tcW w:type="dxa" w:w="192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70" w:type="dxa"/>
              <w:left w:w="70" w:type="dxa"/>
              <w:bottom w:w="70" w:type="dxa"/>
              <w:right w:w="70" w:type="dxa"/>
            </w:tcMar>
            <w:vAlign w:val="center"/>
          </w:tcPr>
          <w:p>
            <w:pPr>
              <w:bidi/>
              <w:jc w:val="center"/>
              <w:spacing w:before="0" w:after="0" w:line="264" w:lineRule="auto"/>
            </w:pPr>
            <w:r>
              <w:rPr>
                <w:rFonts w:ascii="Noto Naskh Arabic" w:hAnsi="Noto Naskh Arabic" w:cs="Noto Naskh Arabic" w:eastAsia="Noto Naskh Arabic"/>
                <w:sz w:val="19"/>
                <w:szCs w:val="19"/>
                <w:rtl/>
                <w:lang w:bidi="ar-SA"/>
              </w:rPr>
              <w:t>عربة متنقلة + قائمة محدودة + طلب مسبق</w:t>
            </w:r>
          </w:p>
        </w:tc>
        <w:tc>
          <w:tcPr>
            <w:tcW w:type="dxa" w:w="192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70" w:type="dxa"/>
              <w:left w:w="70" w:type="dxa"/>
              <w:bottom w:w="70" w:type="dxa"/>
              <w:right w:w="70" w:type="dxa"/>
            </w:tcMar>
            <w:vAlign w:val="center"/>
          </w:tcPr>
          <w:p>
            <w:pPr>
              <w:bidi/>
              <w:jc w:val="center"/>
              <w:spacing w:before="0" w:after="0" w:line="264" w:lineRule="auto"/>
            </w:pPr>
            <w:r>
              <w:rPr>
                <w:rFonts w:ascii="Noto Naskh Arabic" w:hAnsi="Noto Naskh Arabic" w:cs="Noto Naskh Arabic" w:eastAsia="Noto Naskh Arabic"/>
                <w:sz w:val="19"/>
                <w:szCs w:val="19"/>
                <w:rtl/>
                <w:lang w:bidi="ar-SA"/>
              </w:rPr>
              <w:t>عربة واحدة وميزانية تجريبية محدودة</w:t>
            </w:r>
          </w:p>
        </w:tc>
        <w:tc>
          <w:tcPr>
            <w:tcW w:type="dxa" w:w="192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70" w:type="dxa"/>
              <w:left w:w="70" w:type="dxa"/>
              <w:bottom w:w="70" w:type="dxa"/>
              <w:right w:w="70" w:type="dxa"/>
            </w:tcMar>
            <w:vAlign w:val="center"/>
          </w:tcPr>
          <w:p>
            <w:pPr>
              <w:bidi/>
              <w:jc w:val="center"/>
              <w:spacing w:before="0" w:after="0" w:line="264" w:lineRule="auto"/>
            </w:pPr>
            <w:r>
              <w:rPr>
                <w:rFonts w:ascii="Noto Naskh Arabic" w:hAnsi="Noto Naskh Arabic" w:cs="Noto Naskh Arabic" w:eastAsia="Noto Naskh Arabic"/>
                <w:sz w:val="19"/>
                <w:szCs w:val="19"/>
                <w:rtl/>
                <w:lang w:bidi="ar-SA"/>
              </w:rPr>
              <w:t>تقليص القائمة والتفاوض مع الموردين</w:t>
            </w:r>
          </w:p>
        </w:tc>
      </w:tr>
    </w:tbl>
    <w:p>
      <w:pPr>
        <w:bidi/>
        <w:jc w:val="both"/>
        <w:spacing w:before="120" w:after="0" w:line="259" w:lineRule="auto"/>
      </w:pPr>
      <w:r>
        <w:rPr>
          <w:rFonts w:ascii="Noto Naskh Arabic" w:hAnsi="Noto Naskh Arabic" w:cs="Noto Naskh Arabic" w:eastAsia="Noto Naskh Arabic"/>
          <w:sz w:val="22"/>
          <w:szCs w:val="22"/>
          <w:rtl/>
          <w:lang w:bidi="ar-SA"/>
        </w:rPr>
        <w:t>يوضح المسار أن قرارات ريم اتبعت تسلسلًا منطقيًا يقابل مراحل العملية الريادية: اكتشاف الفرصة، فالتحقق، فتصميم نموذج العمل، فالاختبار المحدود، فالتعلم من النتائج؛ وهو الخيط الذي يربط الإجابات العشر التالية.</w:t>
      </w:r>
    </w:p>
    <w:p>
      <w:r>
        <w:br w:type="page"/>
      </w:r>
    </w:p>
    <w:p>
      <w:pPr>
        <w:bidi/>
        <w:keepNext/>
        <w:jc w:val="right"/>
        <w:spacing w:before="0" w:after="40" w:line="264" w:lineRule="auto"/>
      </w:pPr>
      <w:r>
        <w:rPr>
          <w:rFonts w:ascii="Noto Kufi Arabic" w:hAnsi="Noto Kufi Arabic" w:cs="Noto Kufi Arabic" w:eastAsia="Noto Kufi Arabic"/>
          <w:color w:val="7FB539"/>
          <w:sz w:val="26"/>
          <w:szCs w:val="26"/>
          <w:rtl/>
          <w:lang w:bidi="ar-SA"/>
        </w:rPr>
        <w:t xml:space="preserve">▌ </w:t>
      </w:r>
      <w:r>
        <w:rPr>
          <w:rFonts w:ascii="Noto Kufi Arabic" w:hAnsi="Noto Kufi Arabic" w:cs="Noto Kufi Arabic" w:eastAsia="Noto Kufi Arabic"/>
          <w:b/>
          <w:bCs/>
          <w:color w:val="1F2A6B"/>
          <w:sz w:val="26"/>
          <w:szCs w:val="26"/>
          <w:rtl/>
          <w:lang w:bidi="ar-SA"/>
        </w:rPr>
        <w:t>ثانيًا: الإجابة التحليلية عن أسئلة الحالة</w:t>
      </w:r>
    </w:p>
    <w:p>
      <w:pPr>
        <w:bidi/>
        <w:jc w:val="center"/>
        <w:spacing w:before="0" w:after="80" w:line="240" w:lineRule="auto"/>
        <w:pBdr>
          <w:bottom w:val="single" w:sz="6" w:space="1" w:color="D5DCE8"/>
        </w:pBdr>
      </w:pP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1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ما المشكلة أو الحاجة التي لاحظتها ريم في السوق؟</w:t>
      </w:r>
    </w:p>
    <w:p>
      <w:pPr>
        <w:bidi/>
        <w:jc w:val="both"/>
        <w:spacing w:before="0" w:after="80" w:line="259" w:lineRule="auto"/>
      </w:pPr>
      <w:r>
        <w:rPr>
          <w:rFonts w:ascii="Noto Naskh Arabic" w:hAnsi="Noto Naskh Arabic" w:cs="Noto Naskh Arabic" w:eastAsia="Noto Naskh Arabic"/>
          <w:b/>
          <w:bCs/>
          <w:color w:val="1F2A6B"/>
          <w:sz w:val="22"/>
          <w:szCs w:val="22"/>
          <w:rtl/>
          <w:lang w:bidi="ar-SA"/>
        </w:rPr>
        <w:t xml:space="preserve">المشكلة الظاهرة: </w:t>
      </w:r>
      <w:r>
        <w:rPr>
          <w:rFonts w:ascii="Noto Naskh Arabic" w:hAnsi="Noto Naskh Arabic" w:cs="Noto Naskh Arabic" w:eastAsia="Noto Naskh Arabic"/>
          <w:sz w:val="22"/>
          <w:szCs w:val="22"/>
          <w:rtl/>
          <w:lang w:bidi="ar-SA"/>
        </w:rPr>
        <w:t>لاحظت ريم أن طالبات الجامعة والموظفات يشترين القهوة والمشروبات بكثافة في الفترة الصباحية وبين المحاضرات، في حين تزدحم المقاهي القريبة في هذه الأوقات تحديدًا، فتضطر العميلة إلى الانتظار طويلًا أو الذهاب إلى مكان أبعد، وقد ينتهي الأمر بتأخرها عن المحاضرة أو العمل.</w:t>
      </w:r>
    </w:p>
    <w:p>
      <w:pPr>
        <w:bidi/>
        <w:jc w:val="both"/>
        <w:spacing w:before="0" w:after="80" w:line="259" w:lineRule="auto"/>
      </w:pPr>
      <w:r>
        <w:rPr>
          <w:rFonts w:ascii="Noto Naskh Arabic" w:hAnsi="Noto Naskh Arabic" w:cs="Noto Naskh Arabic" w:eastAsia="Noto Naskh Arabic"/>
          <w:b/>
          <w:bCs/>
          <w:color w:val="1F2A6B"/>
          <w:sz w:val="22"/>
          <w:szCs w:val="22"/>
          <w:rtl/>
          <w:lang w:bidi="ar-SA"/>
        </w:rPr>
        <w:t xml:space="preserve">الحاجة الحقيقية خلف المشكلة: </w:t>
      </w:r>
      <w:r>
        <w:rPr>
          <w:rFonts w:ascii="Noto Naskh Arabic" w:hAnsi="Noto Naskh Arabic" w:cs="Noto Naskh Arabic" w:eastAsia="Noto Naskh Arabic"/>
          <w:sz w:val="22"/>
          <w:szCs w:val="22"/>
          <w:rtl/>
          <w:lang w:bidi="ar-SA"/>
        </w:rPr>
        <w:t>القهوة نفسها متوفرة في السوق، فالمشكلة ليست نقصًا في المعروض، بل عدم توافق بين طلبٍ يتركز في نافذة زمنية ضيقة (قبل المحاضرة الأولى وبين المحاضرات) وطاقةٍ استيعابية ثابتة لدى المقاهي. وبلغة ريادة الأعمال، فإن «الوظيفة» التي تريد العميلة إنجازها هي الحصول على مشروبها المعتاد خلال دقائق معدودة دون أن تخسر وقتها، وهذا ما يجعل الوقت، لا المشروب، هو جوهر الحاجة غير الملبّاة.</w:t>
      </w:r>
    </w:p>
    <w:p>
      <w:pPr>
        <w:bidi/>
        <w:jc w:val="both"/>
        <w:spacing w:before="0" w:after="80" w:line="259" w:lineRule="auto"/>
      </w:pPr>
      <w:r>
        <w:rPr>
          <w:rFonts w:ascii="Noto Naskh Arabic" w:hAnsi="Noto Naskh Arabic" w:cs="Noto Naskh Arabic" w:eastAsia="Noto Naskh Arabic"/>
          <w:b/>
          <w:bCs/>
          <w:color w:val="1F2A6B"/>
          <w:sz w:val="22"/>
          <w:szCs w:val="22"/>
          <w:rtl/>
          <w:lang w:bidi="ar-SA"/>
        </w:rPr>
        <w:t xml:space="preserve">لماذا تستحق هذه المشكلة الحل؟ </w:t>
      </w:r>
      <w:r>
        <w:rPr>
          <w:rFonts w:ascii="Noto Naskh Arabic" w:hAnsi="Noto Naskh Arabic" w:cs="Noto Naskh Arabic" w:eastAsia="Noto Naskh Arabic"/>
          <w:sz w:val="22"/>
          <w:szCs w:val="22"/>
          <w:rtl/>
          <w:lang w:bidi="ar-SA"/>
        </w:rPr>
        <w:t>لأنها تجمع ثلاث خصائص يبحث عنها رائد الأعمال في نقطة الألم الجيدة: فهي متكررة يوميًا لا موسمية، وتمس شريحة واسعة ومتجانسة يسهل الوصول إليها، ولها كلفة ملموسة على العميلة تتمثل في الوقت الضائع والتأخر. ووجود كلفة واضحة يعني استعداد العميلة لتغيير سلوكها الشرائي إذا توافر بديل يوفر الوقت بسعر مقبول.</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2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كيف تحولت هذه المشكلة إلى فرصة ريادية قابلة للتطبيق؟</w:t>
      </w:r>
    </w:p>
    <w:p>
      <w:pPr>
        <w:bidi/>
        <w:jc w:val="both"/>
        <w:spacing w:before="0" w:after="80" w:line="259" w:lineRule="auto"/>
      </w:pPr>
      <w:r>
        <w:rPr>
          <w:rFonts w:ascii="Noto Naskh Arabic" w:hAnsi="Noto Naskh Arabic" w:cs="Noto Naskh Arabic" w:eastAsia="Noto Naskh Arabic"/>
          <w:sz w:val="22"/>
          <w:szCs w:val="22"/>
          <w:rtl/>
          <w:lang w:bidi="ar-SA"/>
        </w:rPr>
        <w:t>التمييز بين الفكرة والفرصة هو مفتاح هذا السؤال؛ فالفكرة هي «عربة قهوة»، أما الفرصة فهي حل مشكلة الانتظار لشريحة محددة في وقت محدد بميزة واضحة. وقد مرّ تحويل المشكلة إلى فرصة بأربع خطوات متتابعة: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إدراك النمط لا الحدث: </w:t>
      </w:r>
      <w:r>
        <w:rPr>
          <w:rFonts w:ascii="Noto Naskh Arabic" w:hAnsi="Noto Naskh Arabic" w:cs="Noto Naskh Arabic" w:eastAsia="Noto Naskh Arabic"/>
          <w:sz w:val="22"/>
          <w:szCs w:val="22"/>
          <w:rtl/>
          <w:lang w:bidi="ar-SA"/>
        </w:rPr>
        <w:t>لم تكتفِ ريم بملاحظة عابرة، بل رصدت الازدحام وطول الانتظار كسلوك يومي متكرر مرتبط بجدول المحاضرات، وهو ما يعطي الفرصة صفة الاستمرارية بدل أن تكون حدثًا طارئًا.</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تصميم حل يستهدف جذر المشكلة: </w:t>
      </w:r>
      <w:r>
        <w:rPr>
          <w:rFonts w:ascii="Noto Naskh Arabic" w:hAnsi="Noto Naskh Arabic" w:cs="Noto Naskh Arabic" w:eastAsia="Noto Naskh Arabic"/>
          <w:sz w:val="22"/>
          <w:szCs w:val="22"/>
          <w:rtl/>
          <w:lang w:bidi="ar-SA"/>
        </w:rPr>
        <w:t>ركّز الحل على جذر المشكلة (الوقت) لا على أعراضها، فجاءت العناصر الثلاثة متكاملة: عربة متنقلة تقترب من العميلة بدل أن تذهب هي إلى المقهى، وقائمة محدودة تُسرِّع التحضير، وطلب مسبق يلغي الانتظار أصلًا.</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التحقق من الافتراضات: </w:t>
      </w:r>
      <w:r>
        <w:rPr>
          <w:rFonts w:ascii="Noto Naskh Arabic" w:hAnsi="Noto Naskh Arabic" w:cs="Noto Naskh Arabic" w:eastAsia="Noto Naskh Arabic"/>
          <w:sz w:val="22"/>
          <w:szCs w:val="22"/>
          <w:rtl/>
          <w:lang w:bidi="ar-SA"/>
        </w:rPr>
        <w:t>قبل أي إنفاق، اختبرت ريم افتراضاتها عبر استطلاع العميلات ودراسة المنافسين، فتحولت الفرضيات إلى معلومات، وثبت أن ما تهتم به العميلات (السرعة والسعر والجودة) يتطابق مع ما يقدمه الحل.</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اختيار نموذج دخول واقعي: </w:t>
      </w:r>
      <w:r>
        <w:rPr>
          <w:rFonts w:ascii="Noto Naskh Arabic" w:hAnsi="Noto Naskh Arabic" w:cs="Noto Naskh Arabic" w:eastAsia="Noto Naskh Arabic"/>
          <w:sz w:val="22"/>
          <w:szCs w:val="22"/>
          <w:rtl/>
          <w:lang w:bidi="ar-SA"/>
        </w:rPr>
        <w:t>اختارت نموذج دخول منخفض التكلفة قابلًا للاختبار والتعديل، فأصبحت الفرصة قابلة للتطبيق بموارد طالبة جامعية، لا مجرد فكرة جذابة تحتاج رأس مال كبير.</w:t>
      </w:r>
    </w:p>
    <w:p>
      <w:pPr>
        <w:bidi/>
        <w:jc w:val="both"/>
        <w:spacing w:before="0" w:after="80" w:line="259" w:lineRule="auto"/>
      </w:pPr>
      <w:r>
        <w:rPr>
          <w:rFonts w:ascii="Noto Naskh Arabic" w:hAnsi="Noto Naskh Arabic" w:cs="Noto Naskh Arabic" w:eastAsia="Noto Naskh Arabic"/>
          <w:sz w:val="22"/>
          <w:szCs w:val="22"/>
          <w:rtl/>
          <w:lang w:bidi="ar-SA"/>
        </w:rPr>
        <w:t>وبقياس الفرصة على معايير الفرصة الجيدة، نجد أنها جذابة (طلب يومي متكرر)، ومناسبة التوقيت (ازدحام قائم الآن)، وقابلة للتنفيذ (تقنية بسيطة ورأس مال محدود)، وتخلق قيمة حقيقية للعميلة (توفير الوقت). اجتماع هذه المعايير هو ما نقل «وقت القهوة» من فكرة إلى فرصة ريادية.</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3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من هم العملاء المستهدفون في مشروع «وقت القهوة»؟</w:t>
      </w:r>
    </w:p>
    <w:p>
      <w:pPr>
        <w:bidi/>
        <w:jc w:val="both"/>
        <w:spacing w:before="0" w:after="80" w:line="259" w:lineRule="auto"/>
      </w:pPr>
      <w:r>
        <w:rPr>
          <w:rFonts w:ascii="Noto Naskh Arabic" w:hAnsi="Noto Naskh Arabic" w:cs="Noto Naskh Arabic" w:eastAsia="Noto Naskh Arabic"/>
          <w:sz w:val="22"/>
          <w:szCs w:val="22"/>
          <w:rtl/>
          <w:lang w:bidi="ar-SA"/>
        </w:rPr>
        <w:t>حددت الحالة ثلاث شرائح متفاوتة في الأهمية، ويمكن تحليلها وفق أسس التقسيم السوقي (الديموغرافي، والجغرافي، والسلوكي):</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الشريحة الأساسية – طالبات الجامعة: </w:t>
      </w:r>
      <w:r>
        <w:rPr>
          <w:rFonts w:ascii="Noto Naskh Arabic" w:hAnsi="Noto Naskh Arabic" w:cs="Noto Naskh Arabic" w:eastAsia="Noto Naskh Arabic"/>
          <w:sz w:val="22"/>
          <w:szCs w:val="22"/>
          <w:rtl/>
          <w:lang w:bidi="ar-SA"/>
        </w:rPr>
        <w:t>هن الأكبر عددًا، وسلوكهن الشرائي مرتبط بجدول المحاضرات، وحساسيتهن للسعر وللوقت مرتفعة. هذه الشريحة هي التي تحدد تصميم القائمة والأسعار وساعات التشغيل، وهي الأنسب لقناة الطلب الإلكتروني لاعتيادها على الخدمات الرقمية.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الشريحة الثانية – الموظفات: </w:t>
      </w:r>
      <w:r>
        <w:rPr>
          <w:rFonts w:ascii="Noto Naskh Arabic" w:hAnsi="Noto Naskh Arabic" w:cs="Noto Naskh Arabic" w:eastAsia="Noto Naskh Arabic"/>
          <w:sz w:val="22"/>
          <w:szCs w:val="22"/>
          <w:rtl/>
          <w:lang w:bidi="ar-SA"/>
        </w:rPr>
        <w:t>أوقاتهن أكثر ثباتًا (بداية الدوام الصباحي)، وقوتهن الشرائية أعلى، وهن مرشحات للولاء والتكرار اليومي، مما يجعلهن مصدر إيراد مستقر يقلل تذبذب الطلب المرتبط بالتقويم الدراسي.</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الشريحة الثالثة – الموجودون قرب الجامعة: </w:t>
      </w:r>
      <w:r>
        <w:rPr>
          <w:rFonts w:ascii="Noto Naskh Arabic" w:hAnsi="Noto Naskh Arabic" w:cs="Noto Naskh Arabic" w:eastAsia="Noto Naskh Arabic"/>
          <w:sz w:val="22"/>
          <w:szCs w:val="22"/>
          <w:rtl/>
          <w:lang w:bidi="ar-SA"/>
        </w:rPr>
        <w:t>زائرات الجامعة ومن يمرّ بالموقع، وهو طلب عرضي تكميلي لا يُبنى عليه التخطيط، لكنه يرفع الإشغال في الفترات الهادئة.</w:t>
      </w:r>
    </w:p>
    <w:p>
      <w:pPr>
        <w:bidi/>
        <w:jc w:val="both"/>
        <w:spacing w:before="0" w:after="80" w:line="259" w:lineRule="auto"/>
      </w:pPr>
      <w:r>
        <w:rPr>
          <w:rFonts w:ascii="Noto Naskh Arabic" w:hAnsi="Noto Naskh Arabic" w:cs="Noto Naskh Arabic" w:eastAsia="Noto Naskh Arabic"/>
          <w:b/>
          <w:bCs/>
          <w:color w:val="1F2A6B"/>
          <w:sz w:val="22"/>
          <w:szCs w:val="22"/>
          <w:rtl/>
          <w:lang w:bidi="ar-SA"/>
        </w:rPr>
        <w:t xml:space="preserve">شخصية العميلة النموذجية: </w:t>
      </w:r>
      <w:r>
        <w:rPr>
          <w:rFonts w:ascii="Noto Naskh Arabic" w:hAnsi="Noto Naskh Arabic" w:cs="Noto Naskh Arabic" w:eastAsia="Noto Naskh Arabic"/>
          <w:sz w:val="22"/>
          <w:szCs w:val="22"/>
          <w:rtl/>
          <w:lang w:bidi="ar-SA"/>
        </w:rPr>
        <w:t>طالبة لديها محاضرة في الثامنة صباحًا، وأمامها عشر دقائق فقط، تريد مشروبها المعتاد بسعر معقول دون طابور. تحديد هذه الشخصية بدقة هو ما يفسر لماذا جاءت القائمة قصيرة، والأسعار مناسبة، والعربة في مسار الحركة، والطلب عبر رابط لا عبر تطبيق معقد. فالتحديد الدقيق للعميل المستهدف ليس خطوة وصفية، بل هو القرار الذي تُشتق منه بقية قرارات نموذج العمل.</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4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ما القيمة المقترحة التي يقدمها المشروع للعملاء؟</w:t>
      </w:r>
    </w:p>
    <w:p>
      <w:pPr>
        <w:bidi/>
        <w:jc w:val="both"/>
        <w:spacing w:before="0" w:after="80" w:line="259" w:lineRule="auto"/>
      </w:pPr>
      <w:r>
        <w:rPr>
          <w:rFonts w:ascii="Noto Naskh Arabic" w:hAnsi="Noto Naskh Arabic" w:cs="Noto Naskh Arabic" w:eastAsia="Noto Naskh Arabic"/>
          <w:sz w:val="22"/>
          <w:szCs w:val="22"/>
          <w:rtl/>
          <w:lang w:bidi="ar-SA"/>
        </w:rPr>
        <w:t>يمكن صياغة القيمة المقترحة لـ«وقت القهوة» في جملة واحدة: «مشروبك جاهز في الوقت الذي تحددينه، على بُعد خطوات من قاعتك، وبسعر مناسب». ويُظهر تحليلها وفق منطق مواءمة القيمة مع احتياجات العميلة ما يلي:</w:t>
      </w:r>
    </w:p>
    <w:tbl>
      <w:tblPr>
        <w:tblW w:type="auto" w:w="0"/>
        <w:jc w:val="center"/>
        <w:tblLayout w:type="fixed"/>
        <w:tblLook w:firstColumn="1" w:firstRow="1" w:lastColumn="0" w:lastRow="0" w:noHBand="0" w:noVBand="1" w:val="04A0"/>
        <w:bidiVisual/>
        <w:tblLayout w:type="fixed"/>
      </w:tblPr>
      <w:tblGrid>
        <w:gridCol w:w="2608"/>
        <w:gridCol w:w="3402"/>
        <w:gridCol w:w="3628"/>
      </w:tblGrid>
      <w:tr>
        <w:trPr>
          <w:cantSplit/>
        </w:trPr>
        <w:tc>
          <w:tcPr>
            <w:tcW w:type="dxa" w:w="2608"/>
            <w:tcBorders>
              <w:top w:val="nil"/>
              <w:left w:val="nil"/>
              <w:bottom w:val="nil"/>
              <w:right w:val="nil"/>
            </w:tcBorders>
            <w:shd w:val="clear" w:color="auto" w:fill="1F2A6B"/>
            <w:tcMar>
              <w:top w:w="50" w:type="dxa"/>
              <w:left w:w="80" w:type="dxa"/>
              <w:bottom w:w="50" w:type="dxa"/>
              <w:right w:w="80" w:type="dxa"/>
            </w:tcMar>
            <w:vAlign w:val="center"/>
          </w:tcPr>
          <w:p>
            <w:pPr>
              <w:bidi/>
              <w:jc w:val="center"/>
              <w:spacing w:before="0" w:after="0" w:line="264" w:lineRule="auto"/>
            </w:pPr>
            <w:r>
              <w:rPr>
                <w:rFonts w:ascii="Noto Kufi Arabic" w:hAnsi="Noto Kufi Arabic" w:cs="Noto Kufi Arabic" w:eastAsia="Noto Kufi Arabic"/>
                <w:b/>
                <w:bCs/>
                <w:color w:val="FFFFFF"/>
                <w:sz w:val="21"/>
                <w:szCs w:val="21"/>
                <w:rtl/>
                <w:lang w:bidi="ar-SA"/>
              </w:rPr>
              <w:t>ما تعانيه العميلة</w:t>
            </w:r>
          </w:p>
        </w:tc>
        <w:tc>
          <w:tcPr>
            <w:tcW w:type="dxa" w:w="3402"/>
            <w:tcBorders>
              <w:top w:val="nil"/>
              <w:left w:val="nil"/>
              <w:bottom w:val="nil"/>
              <w:right w:val="nil"/>
            </w:tcBorders>
            <w:shd w:val="clear" w:color="auto" w:fill="1F2A6B"/>
            <w:tcMar>
              <w:top w:w="50" w:type="dxa"/>
              <w:left w:w="80" w:type="dxa"/>
              <w:bottom w:w="50" w:type="dxa"/>
              <w:right w:w="80" w:type="dxa"/>
            </w:tcMar>
            <w:vAlign w:val="center"/>
          </w:tcPr>
          <w:p>
            <w:pPr>
              <w:bidi/>
              <w:jc w:val="center"/>
              <w:spacing w:before="0" w:after="0" w:line="264" w:lineRule="auto"/>
            </w:pPr>
            <w:r>
              <w:rPr>
                <w:rFonts w:ascii="Noto Kufi Arabic" w:hAnsi="Noto Kufi Arabic" w:cs="Noto Kufi Arabic" w:eastAsia="Noto Kufi Arabic"/>
                <w:b/>
                <w:bCs/>
                <w:color w:val="FFFFFF"/>
                <w:sz w:val="21"/>
                <w:szCs w:val="21"/>
                <w:rtl/>
                <w:lang w:bidi="ar-SA"/>
              </w:rPr>
              <w:t>كيف يعالجه المشروع</w:t>
            </w:r>
          </w:p>
        </w:tc>
        <w:tc>
          <w:tcPr>
            <w:tcW w:type="dxa" w:w="3628"/>
            <w:tcBorders>
              <w:top w:val="nil"/>
              <w:left w:val="nil"/>
              <w:bottom w:val="nil"/>
              <w:right w:val="nil"/>
            </w:tcBorders>
            <w:shd w:val="clear" w:color="auto" w:fill="1F2A6B"/>
            <w:tcMar>
              <w:top w:w="50" w:type="dxa"/>
              <w:left w:w="80" w:type="dxa"/>
              <w:bottom w:w="50" w:type="dxa"/>
              <w:right w:w="80" w:type="dxa"/>
            </w:tcMar>
            <w:vAlign w:val="center"/>
          </w:tcPr>
          <w:p>
            <w:pPr>
              <w:bidi/>
              <w:jc w:val="center"/>
              <w:spacing w:before="0" w:after="0" w:line="264" w:lineRule="auto"/>
            </w:pPr>
            <w:r>
              <w:rPr>
                <w:rFonts w:ascii="Noto Kufi Arabic" w:hAnsi="Noto Kufi Arabic" w:cs="Noto Kufi Arabic" w:eastAsia="Noto Kufi Arabic"/>
                <w:b/>
                <w:bCs/>
                <w:color w:val="FFFFFF"/>
                <w:sz w:val="21"/>
                <w:szCs w:val="21"/>
                <w:rtl/>
                <w:lang w:bidi="ar-SA"/>
              </w:rPr>
              <w:t>المكسب الناتج</w:t>
            </w:r>
          </w:p>
        </w:tc>
      </w:tr>
      <w:tr>
        <w:trPr>
          <w:cantSplit/>
        </w:trPr>
        <w:tc>
          <w:tcPr>
            <w:tcW w:type="dxa" w:w="260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b/>
                <w:bCs/>
                <w:color w:val="1F2A6B"/>
                <w:sz w:val="21"/>
                <w:szCs w:val="21"/>
                <w:rtl/>
                <w:lang w:bidi="ar-SA"/>
              </w:rPr>
              <w:t>الانتظار الطويل والتأخر عن المحاضرة</w:t>
            </w:r>
          </w:p>
        </w:tc>
        <w:tc>
          <w:tcPr>
            <w:tcW w:type="dxa" w:w="340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الطلب المسبق مع تحديد وقت الاستلام</w:t>
            </w:r>
          </w:p>
        </w:tc>
        <w:tc>
          <w:tcPr>
            <w:tcW w:type="dxa" w:w="362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استلام فوري وتوفير وقت مضمون</w:t>
            </w:r>
          </w:p>
        </w:tc>
      </w:tr>
      <w:tr>
        <w:trPr>
          <w:cantSplit/>
        </w:trPr>
        <w:tc>
          <w:tcPr>
            <w:tcW w:type="dxa" w:w="260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b/>
                <w:bCs/>
                <w:color w:val="1F2A6B"/>
                <w:sz w:val="21"/>
                <w:szCs w:val="21"/>
                <w:rtl/>
                <w:lang w:bidi="ar-SA"/>
              </w:rPr>
              <w:t>بُعد المقاهي عن القاعات</w:t>
            </w:r>
          </w:p>
        </w:tc>
        <w:tc>
          <w:tcPr>
            <w:tcW w:type="dxa" w:w="340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عربة متنقلة في مسار الحركة اليومية</w:t>
            </w:r>
          </w:p>
        </w:tc>
        <w:tc>
          <w:tcPr>
            <w:tcW w:type="dxa" w:w="362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سهولة الوصول دون انحراف عن الطريق</w:t>
            </w:r>
          </w:p>
        </w:tc>
      </w:tr>
      <w:tr>
        <w:trPr>
          <w:cantSplit/>
        </w:trPr>
        <w:tc>
          <w:tcPr>
            <w:tcW w:type="dxa" w:w="2608"/>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b/>
                <w:bCs/>
                <w:color w:val="1F2A6B"/>
                <w:sz w:val="21"/>
                <w:szCs w:val="21"/>
                <w:rtl/>
                <w:lang w:bidi="ar-SA"/>
              </w:rPr>
              <w:t>السعر المرتفع في المقاهي</w:t>
            </w:r>
          </w:p>
        </w:tc>
        <w:tc>
          <w:tcPr>
            <w:tcW w:type="dxa" w:w="340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تكاليف ثابتة منخفضة وقائمة مركزة تقلل الهدر</w:t>
            </w:r>
          </w:p>
        </w:tc>
        <w:tc>
          <w:tcPr>
            <w:tcW w:type="dxa" w:w="362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90" w:type="dxa"/>
              <w:bottom w:w="50" w:type="dxa"/>
              <w:right w:w="90" w:type="dxa"/>
            </w:tcMar>
            <w:vAlign w:val="center"/>
          </w:tcPr>
          <w:p>
            <w:pPr>
              <w:bidi/>
              <w:jc w:val="right"/>
              <w:spacing w:before="0" w:after="0" w:line="264" w:lineRule="auto"/>
            </w:pPr>
            <w:r>
              <w:rPr>
                <w:rFonts w:ascii="Noto Naskh Arabic" w:hAnsi="Noto Naskh Arabic" w:cs="Noto Naskh Arabic" w:eastAsia="Noto Naskh Arabic"/>
                <w:sz w:val="21"/>
                <w:szCs w:val="21"/>
                <w:rtl/>
                <w:lang w:bidi="ar-SA"/>
              </w:rPr>
              <w:t>سعر مناسب مع جودة ثابتة</w:t>
            </w:r>
          </w:p>
        </w:tc>
      </w:tr>
    </w:tbl>
    <w:p>
      <w:pPr>
        <w:bidi/>
        <w:jc w:val="both"/>
        <w:spacing w:before="120" w:after="80" w:line="259" w:lineRule="auto"/>
      </w:pPr>
      <w:r>
        <w:rPr>
          <w:rFonts w:ascii="Noto Naskh Arabic" w:hAnsi="Noto Naskh Arabic" w:cs="Noto Naskh Arabic" w:eastAsia="Noto Naskh Arabic"/>
          <w:sz w:val="22"/>
          <w:szCs w:val="22"/>
          <w:rtl/>
          <w:lang w:bidi="ar-SA"/>
        </w:rPr>
        <w:t>ويلاحظ أن القيمة الجوهرية هي توفير الوقت، أما السعر المناسب والجودة فهما شرطان لازمان لدخول السوق لا عاملا تمييز بحد ذاتهما، لأن أي مقهى منافس يستطيع تقديمهما. كما أن القائمة المحدودة ليست نقصًا في العرض، بل جزء من القيمة نفسها: تنوع أقل يعني تحضيرًا أسرع وهدرًا أقل وسعرًا أفضل، وهو ما يخدم العوامل الثلاثة التي أظهرها الاستطلاع دفعة واحدة.</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5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ما الميزة التنافسية التي يمكن أن تميز «وقت القهوة» عن المقاهي القريبة؟</w:t>
      </w:r>
    </w:p>
    <w:p>
      <w:pPr>
        <w:bidi/>
        <w:jc w:val="both"/>
        <w:spacing w:before="0" w:after="80" w:line="259" w:lineRule="auto"/>
      </w:pPr>
      <w:r>
        <w:rPr>
          <w:rFonts w:ascii="Noto Naskh Arabic" w:hAnsi="Noto Naskh Arabic" w:cs="Noto Naskh Arabic" w:eastAsia="Noto Naskh Arabic"/>
          <w:sz w:val="22"/>
          <w:szCs w:val="22"/>
          <w:rtl/>
          <w:lang w:bidi="ar-SA"/>
        </w:rPr>
        <w:t>تمتلك المقاهي القريبة قائمة أوسع وأماكن للجلوس، لكنها تعاني الازدحام وقتَ الذروة وتتحمل تكاليف ثابتة مرتفعة. وفي المقابل يبني «وقت القهوة» ميزته على استراتيجية التركيز: خدمة شريحة ضيقة بتمايز قائم على السرعة. وتتكون هذه الميزة من أربعة مصادر متداخلة: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ميزة الخدمة: </w:t>
      </w:r>
      <w:r>
        <w:rPr>
          <w:rFonts w:ascii="Noto Naskh Arabic" w:hAnsi="Noto Naskh Arabic" w:cs="Noto Naskh Arabic" w:eastAsia="Noto Naskh Arabic"/>
          <w:sz w:val="22"/>
          <w:szCs w:val="22"/>
          <w:rtl/>
          <w:lang w:bidi="ar-SA"/>
        </w:rPr>
        <w:t>الطلب المسبق مع تحديد وقت الاستلام يحوّل الانتظار من مشكلة العميلة إلى مشكلة يديرها المشروع مسبقًا، وهو ما لا تقدمه المقاهي المجاورة في الحالة.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ميزة تشغيلية: </w:t>
      </w:r>
      <w:r>
        <w:rPr>
          <w:rFonts w:ascii="Noto Naskh Arabic" w:hAnsi="Noto Naskh Arabic" w:cs="Noto Naskh Arabic" w:eastAsia="Noto Naskh Arabic"/>
          <w:sz w:val="22"/>
          <w:szCs w:val="22"/>
          <w:rtl/>
          <w:lang w:bidi="ar-SA"/>
        </w:rPr>
        <w:t>ثلاثة مشروبات رئيسية تعني إتقانًا أعلى، وزمن تحضير أقصر، ومخزونًا أبسط؛ فالسرعة هنا نتيجة تصميم لا مجرد وعد.</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ميزة الموقع والتكلفة: </w:t>
      </w:r>
      <w:r>
        <w:rPr>
          <w:rFonts w:ascii="Noto Naskh Arabic" w:hAnsi="Noto Naskh Arabic" w:cs="Noto Naskh Arabic" w:eastAsia="Noto Naskh Arabic"/>
          <w:sz w:val="22"/>
          <w:szCs w:val="22"/>
          <w:rtl/>
          <w:lang w:bidi="ar-SA"/>
        </w:rPr>
        <w:t>العربة تتمركز حيث تتحرك العميلات وتنتقل إذا تغير الطلب، بينما المقهى أسير موقعه. كما أن انخفاض التكاليف الثابتة يتيح تسعيرًا تنافسيًا مع هامش ربح معقول.</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ميزة معلوماتية: </w:t>
      </w:r>
      <w:r>
        <w:rPr>
          <w:rFonts w:ascii="Noto Naskh Arabic" w:hAnsi="Noto Naskh Arabic" w:cs="Noto Naskh Arabic" w:eastAsia="Noto Naskh Arabic"/>
          <w:sz w:val="22"/>
          <w:szCs w:val="22"/>
          <w:rtl/>
          <w:lang w:bidi="ar-SA"/>
        </w:rPr>
        <w:t>بيانات الطلب المسبق تكشف أوقات الطلب والمشروبات المفضلة لكل عميلة، مما يتيح التنبؤ بالطلب والتحضير المسبق وتخصيص العروض، وهي معلومات لا يملكها المقهى التقليدي.</w:t>
      </w:r>
    </w:p>
    <w:p>
      <w:pPr>
        <w:bidi/>
        <w:jc w:val="both"/>
        <w:spacing w:before="0" w:after="80" w:line="259" w:lineRule="auto"/>
      </w:pPr>
      <w:r>
        <w:rPr>
          <w:rFonts w:ascii="Noto Naskh Arabic" w:hAnsi="Noto Naskh Arabic" w:cs="Noto Naskh Arabic" w:eastAsia="Noto Naskh Arabic"/>
          <w:sz w:val="22"/>
          <w:szCs w:val="22"/>
          <w:rtl/>
          <w:lang w:bidi="ar-SA"/>
        </w:rPr>
        <w:t>غير أن الطلب المسبق قابل للتقليد، لذا تظل الميزة مستدامة فقط إذا دعمتها ريم بما يصعب تقليده: العلاقة الشخصية مع العميلات ومعرفة طلباتهن المعتادة، وسمعة الالتزام الدقيق بوقت الاستلام، وبرنامج ولاء يرفع تكلفة التحول إلى منافس. فالميزة التنافسية الحقيقية في هذا المشروع هي الموثوقية في توفير الوقت، لا الرابط الإلكتروني في ذاته.</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6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ما المعلومات التي جمعتها ريم قبل بدء المشروع؟ ولماذا تعد هذه الخطوة مهمة لرائد الأعمال؟</w:t>
      </w:r>
    </w:p>
    <w:p>
      <w:pPr>
        <w:bidi/>
        <w:jc w:val="both"/>
        <w:spacing w:before="0" w:after="80" w:line="259" w:lineRule="auto"/>
      </w:pPr>
      <w:r>
        <w:rPr>
          <w:rFonts w:ascii="Noto Naskh Arabic" w:hAnsi="Noto Naskh Arabic" w:cs="Noto Naskh Arabic" w:eastAsia="Noto Naskh Arabic"/>
          <w:sz w:val="22"/>
          <w:szCs w:val="22"/>
          <w:rtl/>
          <w:lang w:bidi="ar-SA"/>
        </w:rPr>
        <w:t>اعتمدت ريم على ثلاثة مصادر معلومات منخفضة التكلفة شكّلت معًا دراسة سوق مصغّرة: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استطلاع العميلات المحتملات: </w:t>
      </w:r>
      <w:r>
        <w:rPr>
          <w:rFonts w:ascii="Noto Naskh Arabic" w:hAnsi="Noto Naskh Arabic" w:cs="Noto Naskh Arabic" w:eastAsia="Noto Naskh Arabic"/>
          <w:sz w:val="22"/>
          <w:szCs w:val="22"/>
          <w:rtl/>
          <w:lang w:bidi="ar-SA"/>
        </w:rPr>
        <w:t>المشروبات المفضلة، والأسعار التي تراها العميلات مناسبة، وأوقات ارتفاع الطلب. ونتيجته المباشرة أن القائمة الأولية بُنيت على ما تطلبه العميلات فعلًا لا على ما تفضّله ريم.</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التحليل الميداني للمنافسين: </w:t>
      </w:r>
      <w:r>
        <w:rPr>
          <w:rFonts w:ascii="Noto Naskh Arabic" w:hAnsi="Noto Naskh Arabic" w:cs="Noto Naskh Arabic" w:eastAsia="Noto Naskh Arabic"/>
          <w:sz w:val="22"/>
          <w:szCs w:val="22"/>
          <w:rtl/>
          <w:lang w:bidi="ar-SA"/>
        </w:rPr>
        <w:t>زارت المقاهي القريبة ودرست أسعارها وسرعة تقديم الطلب وأوقات الازدحام ونقاط القوة والضعف، فحددت الفجوة التي يمكن النفاذ منها (سرعة الخدمة وقت الذروة) وسقف الأسعار الذي لا ينبغي تجاوزه.</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الملاحظة المباشرة: </w:t>
      </w:r>
      <w:r>
        <w:rPr>
          <w:rFonts w:ascii="Noto Naskh Arabic" w:hAnsi="Noto Naskh Arabic" w:cs="Noto Naskh Arabic" w:eastAsia="Noto Naskh Arabic"/>
          <w:sz w:val="22"/>
          <w:szCs w:val="22"/>
          <w:rtl/>
          <w:lang w:bidi="ar-SA"/>
        </w:rPr>
        <w:t>رصد سلوك الشراء الفعلي صباحًا وبين المحاضرات، وهو ما كشف العوامل الثلاثة الحاسمة: السرعة، والسعر، والجودة.</w:t>
      </w:r>
    </w:p>
    <w:p>
      <w:pPr>
        <w:bidi/>
        <w:jc w:val="both"/>
        <w:spacing w:before="0" w:after="80" w:line="259" w:lineRule="auto"/>
      </w:pPr>
      <w:r>
        <w:rPr>
          <w:rFonts w:ascii="Noto Naskh Arabic" w:hAnsi="Noto Naskh Arabic" w:cs="Noto Naskh Arabic" w:eastAsia="Noto Naskh Arabic"/>
          <w:b/>
          <w:bCs/>
          <w:color w:val="1F2A6B"/>
          <w:sz w:val="22"/>
          <w:szCs w:val="22"/>
          <w:rtl/>
          <w:lang w:bidi="ar-SA"/>
        </w:rPr>
        <w:t xml:space="preserve">أهمية هذه الخطوة: </w:t>
      </w:r>
      <w:r>
        <w:rPr>
          <w:rFonts w:ascii="Noto Naskh Arabic" w:hAnsi="Noto Naskh Arabic" w:cs="Noto Naskh Arabic" w:eastAsia="Noto Naskh Arabic"/>
          <w:sz w:val="22"/>
          <w:szCs w:val="22"/>
          <w:rtl/>
          <w:lang w:bidi="ar-SA"/>
        </w:rPr>
        <w:t>إن أكثر أسباب فشل المشاريع الناشئة شيوعًا هو بناء منتج لا يريده أحد. وجمع المعلومات قبل الاستثمار يحوّل عبارة «أعتقد أن الطالبات يردن ذلك» إلى «أعلم ما يردنه وبأي سعر وفي أي وقت»، وبذلك تنخفض تكلفة الخطأ من خسارة رأس مال إلى تعديل فرضية. وتظهر قيمة المعلومات في أنها تحولت مباشرة إلى قرارات: قائمة قصيرة، وتسعير داخل النطاق المقبول، وجدول تشغيل حول الذروة، وخدمة طلب مسبق تعالج الفجوة المرصودة لدى المنافسين.</w:t>
      </w:r>
    </w:p>
    <w:p>
      <w:pPr>
        <w:bidi/>
        <w:jc w:val="both"/>
        <w:spacing w:before="0" w:after="80" w:line="259" w:lineRule="auto"/>
      </w:pPr>
      <w:r>
        <w:rPr>
          <w:rFonts w:ascii="Noto Naskh Arabic" w:hAnsi="Noto Naskh Arabic" w:cs="Noto Naskh Arabic" w:eastAsia="Noto Naskh Arabic"/>
          <w:sz w:val="22"/>
          <w:szCs w:val="22"/>
          <w:rtl/>
          <w:lang w:bidi="ar-SA"/>
        </w:rPr>
        <w:t>ومن المنصف الإشارة إلى أن الاستطلاع كان مبسطًا ولا يمثل السوق تمثيلًا إحصائيًا دقيقًا، لكن ريم تعاملت معه بالطريقة الصحيحة: بوصفه مؤشرًا أوليًا يُستكمل بالتجربة الفعلية، وهو ما حدث في الشهر الأول حين أكدت بيانات المبيعات الحقيقية بعض الافتراضات وصححت بعضها الآخر.</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7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هل كان قرار ريم بالبدء بعربة واحدة مناسبًا؟ وضّح السبب من منظور إدارة المخاطر.</w:t>
      </w:r>
    </w:p>
    <w:p>
      <w:pPr>
        <w:bidi/>
        <w:jc w:val="both"/>
        <w:spacing w:before="0" w:after="80" w:line="259" w:lineRule="auto"/>
      </w:pPr>
      <w:r>
        <w:rPr>
          <w:rFonts w:ascii="Noto Naskh Arabic" w:hAnsi="Noto Naskh Arabic" w:cs="Noto Naskh Arabic" w:eastAsia="Noto Naskh Arabic"/>
          <w:sz w:val="22"/>
          <w:szCs w:val="22"/>
          <w:rtl/>
          <w:lang w:bidi="ar-SA"/>
        </w:rPr>
        <w:t>كان القرار مناسبًا، بل هو القرار الأكثر انسجامًا مع منطق إدارة المخاطر في المشاريع الناشئة، وذلك للأسباب التالية: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تحديد سقف الخسارة المقبولة: </w:t>
      </w:r>
      <w:r>
        <w:rPr>
          <w:rFonts w:ascii="Noto Naskh Arabic" w:hAnsi="Noto Naskh Arabic" w:cs="Noto Naskh Arabic" w:eastAsia="Noto Naskh Arabic"/>
          <w:sz w:val="22"/>
          <w:szCs w:val="22"/>
          <w:rtl/>
          <w:lang w:bidi="ar-SA"/>
        </w:rPr>
        <w:t>الاستثمار في عربة وتجهيزات بسيطة يجعل الحد الأقصى للخسارة معروفًا ومقبولًا سلفًا؛ فإذا أخفق المشروع خسرت ريم مبلغًا محدودًا لا التزامًا بعقد إيجار طويل وتجهيزات مكلفة.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خفض التكاليف الثابتة ونقطة التعادل: </w:t>
      </w:r>
      <w:r>
        <w:rPr>
          <w:rFonts w:ascii="Noto Naskh Arabic" w:hAnsi="Noto Naskh Arabic" w:cs="Noto Naskh Arabic" w:eastAsia="Noto Naskh Arabic"/>
          <w:sz w:val="22"/>
          <w:szCs w:val="22"/>
          <w:rtl/>
          <w:lang w:bidi="ar-SA"/>
        </w:rPr>
        <w:t>المحل الكبير يُثقل المشروع بتكاليف ثابتة شهرية قبل التحقق من حجم الطلب، فترتفع نقطة التعادل ويصبح المشروع هشًا أمام أي تذبذب. أما العربة فتُبقي معظم التكاليف متغيرة ومرتبطة بالمبيعات الفعلية.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المرونة في مواجهة خطأ الموقع: </w:t>
      </w:r>
      <w:r>
        <w:rPr>
          <w:rFonts w:ascii="Noto Naskh Arabic" w:hAnsi="Noto Naskh Arabic" w:cs="Noto Naskh Arabic" w:eastAsia="Noto Naskh Arabic"/>
          <w:sz w:val="22"/>
          <w:szCs w:val="22"/>
          <w:rtl/>
          <w:lang w:bidi="ar-SA"/>
        </w:rPr>
        <w:t>أحد المخاطر المذكورة في الحالة هو «اختيار الموقع غير المناسب»، والعربة تعالجه بطبيعتها لأنها تنتقل، بينما يحوّل المحل خطأ الموقع إلى خسارة دائمة.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تحويل عدم اليقين إلى معلومات: </w:t>
      </w:r>
      <w:r>
        <w:rPr>
          <w:rFonts w:ascii="Noto Naskh Arabic" w:hAnsi="Noto Naskh Arabic" w:cs="Noto Naskh Arabic" w:eastAsia="Noto Naskh Arabic"/>
          <w:sz w:val="22"/>
          <w:szCs w:val="22"/>
          <w:rtl/>
          <w:lang w:bidi="ar-SA"/>
        </w:rPr>
        <w:t>البدء الصغير اشترى لريم «حق التوسع لاحقًا» بمعلومات أفضل، فبيانات الشهر الأول عن أوقات الذروة والمشروبات الأكثر طلبًا ما كانت لتتوافر لو بدأت بمحل كامل بقائمة واسعة.</w:t>
      </w:r>
    </w:p>
    <w:p>
      <w:pPr>
        <w:bidi/>
        <w:jc w:val="both"/>
        <w:spacing w:before="0" w:after="80" w:line="259" w:lineRule="auto"/>
      </w:pPr>
      <w:r>
        <w:rPr>
          <w:rFonts w:ascii="Noto Naskh Arabic" w:hAnsi="Noto Naskh Arabic" w:cs="Noto Naskh Arabic" w:eastAsia="Noto Naskh Arabic"/>
          <w:sz w:val="22"/>
          <w:szCs w:val="22"/>
          <w:rtl/>
          <w:lang w:bidi="ar-SA"/>
        </w:rPr>
        <w:t>ولهذا القرار كلفة ينبغي الاعتراف بها: طاقة إنتاجية محدودة قد تولّد طابورًا أمام العربة في الذروة. لكن ريم عالجت هذا القيد مسبقًا بخدمة الطلب المسبق التي توزّع الطلب على نافذة زمنية أوسع. وبذلك يمثل القرار تطبيقًا عمليًا لمبدأ المنتج الأولي القابل للتطبيق: اختبر الفرضية بأقل استثمار، وتعلّم، ثم وسّع ما ثبت نجاحه.</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8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اذكر ثلاثة مخاطر محتملة قد تواجه المشروع، واقترح أسلوبًا مناسبًا للتعامل مع كل خطر.</w:t>
      </w:r>
    </w:p>
    <w:p>
      <w:pPr>
        <w:bidi/>
        <w:jc w:val="both"/>
        <w:spacing w:before="0" w:after="80" w:line="259" w:lineRule="auto"/>
      </w:pPr>
      <w:r>
        <w:rPr>
          <w:rFonts w:ascii="Noto Naskh Arabic" w:hAnsi="Noto Naskh Arabic" w:cs="Noto Naskh Arabic" w:eastAsia="Noto Naskh Arabic"/>
          <w:sz w:val="22"/>
          <w:szCs w:val="22"/>
          <w:rtl/>
          <w:lang w:bidi="ar-SA"/>
        </w:rPr>
        <w:t>تُصنَّف أساليب الاستجابة للمخاطر عادةً إلى التجنب والتخفيف والنقل والقبول. والجدول التالي يطبق ذلك على أبرز مخاطر «وقت القهوة»، مع مؤشر إنذار مبكر يسمح لريم بالتحرك قبل تفاقم الخطر:</w:t>
      </w:r>
    </w:p>
    <w:tbl>
      <w:tblPr>
        <w:tblW w:type="auto" w:w="0"/>
        <w:jc w:val="center"/>
        <w:tblLayout w:type="fixed"/>
        <w:tblLook w:firstColumn="1" w:firstRow="1" w:lastColumn="0" w:lastRow="0" w:noHBand="0" w:noVBand="1" w:val="04A0"/>
        <w:bidiVisual/>
        <w:tblLayout w:type="fixed"/>
      </w:tblPr>
      <w:tblGrid>
        <w:gridCol w:w="1701"/>
        <w:gridCol w:w="2041"/>
        <w:gridCol w:w="1474"/>
        <w:gridCol w:w="4422"/>
      </w:tblGrid>
      <w:tr>
        <w:trPr>
          <w:cantSplit/>
        </w:trPr>
        <w:tc>
          <w:tcPr>
            <w:tcW w:type="dxa" w:w="1701"/>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الخطر</w:t>
            </w:r>
          </w:p>
        </w:tc>
        <w:tc>
          <w:tcPr>
            <w:tcW w:type="dxa" w:w="2041"/>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مؤشر الإنذار المبكر</w:t>
            </w:r>
          </w:p>
        </w:tc>
        <w:tc>
          <w:tcPr>
            <w:tcW w:type="dxa" w:w="1474"/>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الأسلوب</w:t>
            </w:r>
          </w:p>
        </w:tc>
        <w:tc>
          <w:tcPr>
            <w:tcW w:type="dxa" w:w="4422"/>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الإجراء العملي المقترح</w:t>
            </w:r>
          </w:p>
        </w:tc>
      </w:tr>
      <w:tr>
        <w:trPr>
          <w:cantSplit/>
        </w:trPr>
        <w:tc>
          <w:tcPr>
            <w:tcW w:type="dxa" w:w="170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تذبذب الطلب (الإجازات، فترات الاختبارات، الصيف)</w:t>
            </w:r>
          </w:p>
        </w:tc>
        <w:tc>
          <w:tcPr>
            <w:tcW w:type="dxa" w:w="2041"/>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انخفاض الطلبات المسبقة اليومية بنسبة تتجاوز 20% لأسبوعين متتاليين</w:t>
            </w:r>
          </w:p>
        </w:tc>
        <w:tc>
          <w:tcPr>
            <w:tcW w:type="dxa" w:w="1474"/>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center"/>
              <w:spacing w:before="0" w:after="0" w:line="264" w:lineRule="auto"/>
            </w:pPr>
            <w:r>
              <w:rPr>
                <w:rFonts w:ascii="Noto Naskh Arabic" w:hAnsi="Noto Naskh Arabic" w:cs="Noto Naskh Arabic" w:eastAsia="Noto Naskh Arabic"/>
                <w:b/>
                <w:bCs/>
                <w:color w:val="7FB539"/>
                <w:sz w:val="19"/>
                <w:szCs w:val="19"/>
                <w:rtl/>
                <w:lang w:bidi="ar-SA"/>
              </w:rPr>
              <w:t>التخفيف والقبول</w:t>
            </w:r>
          </w:p>
        </w:tc>
        <w:tc>
          <w:tcPr>
            <w:tcW w:type="dxa" w:w="442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جدولة تشغيل مرنة تتركز في الذروتين (7:30–10:00 وفترة الظهيرة) وتقليص التشغيل في الفترات الهادئة، واستهداف الموظفات بوصفهن طلبًا مستقرًا خارج التقويم الدراسي، وتكوين احتياطي نقدي يغطي تكاليف شهرين.</w:t>
            </w:r>
          </w:p>
        </w:tc>
      </w:tr>
      <w:tr>
        <w:trPr>
          <w:cantSplit/>
        </w:trPr>
        <w:tc>
          <w:tcPr>
            <w:tcW w:type="dxa" w:w="170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المنافسة (تقليد المقاهي للطلب المسبق أو خفض أسعارها)</w:t>
            </w:r>
          </w:p>
        </w:tc>
        <w:tc>
          <w:tcPr>
            <w:tcW w:type="dxa" w:w="2041"/>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ظهور خدمة طلب مسبق لدى مقهى مجاور، أو تراجع تكرار الشراء لدى العميلات المنتظمات</w:t>
            </w:r>
          </w:p>
        </w:tc>
        <w:tc>
          <w:tcPr>
            <w:tcW w:type="dxa" w:w="1474"/>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center"/>
              <w:spacing w:before="0" w:after="0" w:line="264" w:lineRule="auto"/>
            </w:pPr>
            <w:r>
              <w:rPr>
                <w:rFonts w:ascii="Noto Naskh Arabic" w:hAnsi="Noto Naskh Arabic" w:cs="Noto Naskh Arabic" w:eastAsia="Noto Naskh Arabic"/>
                <w:b/>
                <w:bCs/>
                <w:color w:val="7FB539"/>
                <w:sz w:val="19"/>
                <w:szCs w:val="19"/>
                <w:rtl/>
                <w:lang w:bidi="ar-SA"/>
              </w:rPr>
              <w:t>التخفيف بالتمايز</w:t>
            </w:r>
          </w:p>
        </w:tc>
        <w:tc>
          <w:tcPr>
            <w:tcW w:type="dxa" w:w="442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عدم الدخول في حرب أسعار، والمنافسة على الوقت والموثوقية: التزام صارم بوقت الاستلام، وبرنامج ولاء بسيط يرفع تكلفة التحول، وعلاقة شخصية مع العميلات (حفظ الطلب المعتاد).</w:t>
            </w:r>
          </w:p>
        </w:tc>
      </w:tr>
      <w:tr>
        <w:trPr>
          <w:cantSplit/>
        </w:trPr>
        <w:tc>
          <w:tcPr>
            <w:tcW w:type="dxa" w:w="170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ارتفاع تكلفة المواد (البن، الحليب، الأكواب)</w:t>
            </w:r>
          </w:p>
        </w:tc>
        <w:tc>
          <w:tcPr>
            <w:tcW w:type="dxa" w:w="2041"/>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انخفاض هامش الربح لأي مشروب تحت الحد المستهدف في المراجعة الشهرية</w:t>
            </w:r>
          </w:p>
        </w:tc>
        <w:tc>
          <w:tcPr>
            <w:tcW w:type="dxa" w:w="1474"/>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center"/>
              <w:spacing w:before="0" w:after="0" w:line="264" w:lineRule="auto"/>
            </w:pPr>
            <w:r>
              <w:rPr>
                <w:rFonts w:ascii="Noto Naskh Arabic" w:hAnsi="Noto Naskh Arabic" w:cs="Noto Naskh Arabic" w:eastAsia="Noto Naskh Arabic"/>
                <w:b/>
                <w:bCs/>
                <w:color w:val="7FB539"/>
                <w:sz w:val="19"/>
                <w:szCs w:val="19"/>
                <w:rtl/>
                <w:lang w:bidi="ar-SA"/>
              </w:rPr>
              <w:t>النقل والتخفيف</w:t>
            </w:r>
          </w:p>
        </w:tc>
        <w:tc>
          <w:tcPr>
            <w:tcW w:type="dxa" w:w="442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اتفاقيات توريد بأسعار ثابتة لثلاثة أشهر مع مورد رئيسي ومورد بديل، والاستفادة من تركيز القائمة لشراء كميات أكبر من مكونات أقل بأسعار أفضل، ومراجعة الأحجام أو الأسعار تدريجيًا بدل القفزات.</w:t>
            </w:r>
          </w:p>
        </w:tc>
      </w:tr>
      <w:tr>
        <w:trPr>
          <w:cantSplit/>
        </w:trPr>
        <w:tc>
          <w:tcPr>
            <w:tcW w:type="dxa" w:w="1701"/>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اختيار موقع غير مناسب أو عوائق تنظيمية</w:t>
            </w:r>
          </w:p>
        </w:tc>
        <w:tc>
          <w:tcPr>
            <w:tcW w:type="dxa" w:w="2041"/>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ضعف المبيعات في فترة الذروة رغم الإقبال العام، أو ملاحظات من الجهات المنظمة</w:t>
            </w:r>
          </w:p>
        </w:tc>
        <w:tc>
          <w:tcPr>
            <w:tcW w:type="dxa" w:w="1474"/>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center"/>
              <w:spacing w:before="0" w:after="0" w:line="264" w:lineRule="auto"/>
            </w:pPr>
            <w:r>
              <w:rPr>
                <w:rFonts w:ascii="Noto Naskh Arabic" w:hAnsi="Noto Naskh Arabic" w:cs="Noto Naskh Arabic" w:eastAsia="Noto Naskh Arabic"/>
                <w:b/>
                <w:bCs/>
                <w:color w:val="7FB539"/>
                <w:sz w:val="19"/>
                <w:szCs w:val="19"/>
                <w:rtl/>
                <w:lang w:bidi="ar-SA"/>
              </w:rPr>
              <w:t>التجنب والتجريب</w:t>
            </w:r>
          </w:p>
        </w:tc>
        <w:tc>
          <w:tcPr>
            <w:tcW w:type="dxa" w:w="4422"/>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استكمال التصاريح البلدية والاشتراطات الصحية قبل التشغيل، واختبار موقعين بديلين لأسبوعين لكل منهما مع مقارنة المبيعات، والاستفادة من قابلية العربة للانتقال.</w:t>
            </w:r>
          </w:p>
        </w:tc>
      </w:tr>
    </w:tbl>
    <w:p>
      <w:pPr>
        <w:bidi/>
        <w:jc w:val="both"/>
        <w:spacing w:before="120" w:after="80" w:line="259" w:lineRule="auto"/>
      </w:pPr>
      <w:r>
        <w:rPr>
          <w:rFonts w:ascii="Noto Naskh Arabic" w:hAnsi="Noto Naskh Arabic" w:cs="Noto Naskh Arabic" w:eastAsia="Noto Naskh Arabic"/>
          <w:sz w:val="22"/>
          <w:szCs w:val="22"/>
          <w:rtl/>
          <w:lang w:bidi="ar-SA"/>
        </w:rPr>
        <w:t>يُلاحظ أن الخطرين الأول والثالث يُداران بأدوات تشغيلية ومالية (الجدولة والاحتياطي والعقود)، بينما يُدار خطر المنافسة ببناء أصول يصعب تقليدها (الولاء والسمعة والعلاقة). وهذا التنوع في الأساليب هو جوهر إدارة المخاطر الفعالة: لا توجد أداة واحدة تصلح لكل خطر.</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9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كيف يمكن لريم الاستفادة من ملاحظات العملاء ونتائج الشهر الأول في تطوير المشروع؟</w:t>
      </w:r>
    </w:p>
    <w:p>
      <w:pPr>
        <w:bidi/>
        <w:jc w:val="both"/>
        <w:spacing w:before="0" w:after="80" w:line="259" w:lineRule="auto"/>
      </w:pPr>
      <w:r>
        <w:rPr>
          <w:rFonts w:ascii="Noto Naskh Arabic" w:hAnsi="Noto Naskh Arabic" w:cs="Noto Naskh Arabic" w:eastAsia="Noto Naskh Arabic"/>
          <w:sz w:val="22"/>
          <w:szCs w:val="22"/>
          <w:rtl/>
          <w:lang w:bidi="ar-SA"/>
        </w:rPr>
        <w:t>يمثل الشهر الأول دورة كاملة من «البناء ثم القياس ثم التعلم»، وقيمته لا تكمن في الأرباح بل في البيانات التي أنتجها. ويمكن تحويل كل نوع من البيانات إلى قرار تطويري محدد:</w:t>
      </w:r>
    </w:p>
    <w:tbl>
      <w:tblPr>
        <w:tblW w:type="auto" w:w="0"/>
        <w:jc w:val="center"/>
        <w:tblLayout w:type="fixed"/>
        <w:tblLook w:firstColumn="1" w:firstRow="1" w:lastColumn="0" w:lastRow="0" w:noHBand="0" w:noVBand="1" w:val="04A0"/>
        <w:bidiVisual/>
        <w:tblLayout w:type="fixed"/>
      </w:tblPr>
      <w:tblGrid>
        <w:gridCol w:w="2494"/>
        <w:gridCol w:w="2948"/>
        <w:gridCol w:w="4195"/>
      </w:tblGrid>
      <w:tr>
        <w:trPr>
          <w:cantSplit/>
        </w:trPr>
        <w:tc>
          <w:tcPr>
            <w:tcW w:type="dxa" w:w="2494"/>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مصدر البيانات</w:t>
            </w:r>
          </w:p>
        </w:tc>
        <w:tc>
          <w:tcPr>
            <w:tcW w:type="dxa" w:w="2948"/>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ما كشفته</w:t>
            </w:r>
          </w:p>
        </w:tc>
        <w:tc>
          <w:tcPr>
            <w:tcW w:type="dxa" w:w="4195"/>
            <w:tcBorders>
              <w:top w:val="nil"/>
              <w:left w:val="nil"/>
              <w:bottom w:val="nil"/>
              <w:right w:val="nil"/>
            </w:tcBorders>
            <w:shd w:val="clear" w:color="auto" w:fill="1F2A6B"/>
            <w:tcMar>
              <w:top w:w="50" w:type="dxa"/>
              <w:left w:w="70" w:type="dxa"/>
              <w:bottom w:w="50" w:type="dxa"/>
              <w:right w:w="70" w:type="dxa"/>
            </w:tcMar>
            <w:vAlign w:val="center"/>
          </w:tcPr>
          <w:p>
            <w:pPr>
              <w:bidi/>
              <w:jc w:val="center"/>
              <w:spacing w:before="0" w:after="0" w:line="264" w:lineRule="auto"/>
            </w:pPr>
            <w:r>
              <w:rPr>
                <w:rFonts w:ascii="Noto Kufi Arabic" w:hAnsi="Noto Kufi Arabic" w:cs="Noto Kufi Arabic" w:eastAsia="Noto Kufi Arabic"/>
                <w:b/>
                <w:bCs/>
                <w:color w:val="FFFFFF"/>
                <w:sz w:val="20"/>
                <w:szCs w:val="20"/>
                <w:rtl/>
                <w:lang w:bidi="ar-SA"/>
              </w:rPr>
              <w:t>القرار التطويري</w:t>
            </w:r>
          </w:p>
        </w:tc>
      </w:tr>
      <w:tr>
        <w:trPr>
          <w:cantSplit/>
        </w:trPr>
        <w:tc>
          <w:tcPr>
            <w:tcW w:type="dxa" w:w="2494"/>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أوقات الذروة</w:t>
            </w:r>
          </w:p>
        </w:tc>
        <w:tc>
          <w:tcPr>
            <w:tcW w:type="dxa" w:w="294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ذروة رئيسية من 7:30 إلى 10:00 صباحًا وذروة ثانية ظهرًا</w:t>
            </w:r>
          </w:p>
        </w:tc>
        <w:tc>
          <w:tcPr>
            <w:tcW w:type="dxa" w:w="4195"/>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تركيز ساعات التشغيل والتحضير المسبق للمشروبات الثلاثة قبل 7:30، وجدولة استلام التوريد خارج الذروة، والاستعانة بمساعدة في ساعات الذروة فقط لخفض التكلفة.</w:t>
            </w:r>
          </w:p>
        </w:tc>
      </w:tr>
      <w:tr>
        <w:trPr>
          <w:cantSplit/>
        </w:trPr>
        <w:tc>
          <w:tcPr>
            <w:tcW w:type="dxa" w:w="2494"/>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بيانات المبيعات حسب المنتج</w:t>
            </w:r>
          </w:p>
        </w:tc>
        <w:tc>
          <w:tcPr>
            <w:tcW w:type="dxa" w:w="294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ثلاثة مشروبات تستحوذ على معظم الطلبات، ومنتجات أخرى ضعيفة المبيعات</w:t>
            </w:r>
          </w:p>
        </w:tc>
        <w:tc>
          <w:tcPr>
            <w:tcW w:type="dxa" w:w="4195"/>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تقليص القائمة وفق قاعدة التركيز على الأكثر طلبًا، فيقل المخزون والهدر وزمن التحضير، ويتحسن موقف ريم التفاوضي مع الموردين لشراء كميات أكبر من مكونات أقل.</w:t>
            </w:r>
          </w:p>
        </w:tc>
      </w:tr>
      <w:tr>
        <w:trPr>
          <w:cantSplit/>
        </w:trPr>
        <w:tc>
          <w:tcPr>
            <w:tcW w:type="dxa" w:w="2494"/>
            <w:tcBorders>
              <w:top w:val="nil"/>
              <w:left w:val="nil"/>
              <w:bottom w:val="nil"/>
              <w:right w:val="nil"/>
            </w:tcBorders>
            <w:shd w:val="clear" w:color="auto" w:fill="EEF3FA"/>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b/>
                <w:bCs/>
                <w:color w:val="1F2A6B"/>
                <w:sz w:val="19"/>
                <w:szCs w:val="19"/>
                <w:rtl/>
                <w:lang w:bidi="ar-SA"/>
              </w:rPr>
              <w:t>آراء العميلات</w:t>
            </w:r>
          </w:p>
        </w:tc>
        <w:tc>
          <w:tcPr>
            <w:tcW w:type="dxa" w:w="2948"/>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اهتمام متكرر بسرعة الاستلام والسعر والجودة</w:t>
            </w:r>
          </w:p>
        </w:tc>
        <w:tc>
          <w:tcPr>
            <w:tcW w:type="dxa" w:w="4195"/>
            <w:tcBorders>
              <w:top w:val="nil"/>
              <w:left w:val="nil"/>
              <w:bottom w:val="nil"/>
              <w:right w:val="nil"/>
            </w:tcBorders>
            <w:shd w:val="clear" w:color="auto" w:fill="FFFFFF"/>
            <w:tcBorders>
              <w:top w:val="single" w:sz="4" w:space="0" w:color="D5DCE8"/>
              <w:left w:val="single" w:sz="4" w:space="0" w:color="D5DCE8"/>
              <w:bottom w:val="single" w:sz="4" w:space="0" w:color="D5DCE8"/>
              <w:right w:val="single" w:sz="4" w:space="0" w:color="D5DCE8"/>
            </w:tcBorders>
            <w:tcMar>
              <w:top w:w="50" w:type="dxa"/>
              <w:left w:w="80" w:type="dxa"/>
              <w:bottom w:w="50" w:type="dxa"/>
              <w:right w:w="80" w:type="dxa"/>
            </w:tcMar>
            <w:vAlign w:val="center"/>
          </w:tcPr>
          <w:p>
            <w:pPr>
              <w:bidi/>
              <w:jc w:val="right"/>
              <w:spacing w:before="0" w:after="0" w:line="264" w:lineRule="auto"/>
            </w:pPr>
            <w:r>
              <w:rPr>
                <w:rFonts w:ascii="Noto Naskh Arabic" w:hAnsi="Noto Naskh Arabic" w:cs="Noto Naskh Arabic" w:eastAsia="Noto Naskh Arabic"/>
                <w:sz w:val="19"/>
                <w:szCs w:val="19"/>
                <w:rtl/>
                <w:lang w:bidi="ar-SA"/>
              </w:rPr>
              <w:t>تحويل العوامل الثلاثة إلى مؤشرات أداء تُقاس أسبوعيًا: متوسط زمن الاستلام، ونسبة الطلب المسبق من إجمالي الطلبات، ومعدل تكرار الشراء للعميلة الواحدة.</w:t>
            </w:r>
          </w:p>
        </w:tc>
      </w:tr>
    </w:tbl>
    <w:p>
      <w:pPr>
        <w:bidi/>
        <w:jc w:val="both"/>
        <w:spacing w:before="120" w:after="80" w:line="259" w:lineRule="auto"/>
      </w:pPr>
      <w:r>
        <w:rPr>
          <w:rFonts w:ascii="Noto Naskh Arabic" w:hAnsi="Noto Naskh Arabic" w:cs="Noto Naskh Arabic" w:eastAsia="Noto Naskh Arabic"/>
          <w:sz w:val="22"/>
          <w:szCs w:val="22"/>
          <w:rtl/>
          <w:lang w:bidi="ar-SA"/>
        </w:rPr>
        <w:t>ولجعل التغذية الراجعة مستمرة لا موسمية، يمكن إضافة سؤال واحد قصير في نهاية رابط الطلب المسبق (مثل: هل استلمتِ طلبك في الوقت المحدد؟) وتحليل إجاباته أسبوعيًا. كما أن سجل الطلبات المسبقة نفسه مصدر غني للمعلومات؛ فإذا تبيّن مثلًا أن نسبة الطلب المسبق منخفضة رغم أهميته للعميلات، فالقرار هو تبسيط الرابط أو منح حافز صغير على الطلب المسبق لا التخلي عن الخدمة. وبهذا يتحول التحسين المستمر من شعار إلى روتين أسبوعي يربط كل قرار بدليل من البيانات.</w:t>
      </w:r>
    </w:p>
    <w:p>
      <w:pPr>
        <w:bidi/>
        <w:keepNext/>
        <w:jc w:val="right"/>
        <w:spacing w:before="160" w:after="120" w:line="276" w:lineRule="auto"/>
        <w:shd w:val="clear" w:color="auto" w:fill="EEF3FA"/>
        <w:pBdr>
          <w:bottom w:val="single" w:sz="12" w:space="3" w:color="1F2A6B"/>
          <w:right w:val="single" w:sz="24" w:space="4" w:color="1F2A6B"/>
        </w:pBdr>
      </w:pPr>
      <w:r>
        <w:rPr>
          <w:rFonts w:ascii="Noto Kufi Arabic" w:hAnsi="Noto Kufi Arabic" w:cs="Noto Kufi Arabic" w:eastAsia="Noto Kufi Arabic"/>
          <w:b/>
          <w:bCs/>
          <w:color w:val="FFFFFF"/>
          <w:sz w:val="25"/>
          <w:szCs w:val="25"/>
          <w:rtl/>
          <w:lang w:bidi="ar-SA"/>
          <w:shd w:val="clear" w:color="auto" w:fill="1F2A6B"/>
        </w:rPr>
        <w:t xml:space="preserve">  10  </w:t>
      </w:r>
      <w:r>
        <w:rPr>
          <w:rFonts w:ascii="Noto Kufi Arabic" w:hAnsi="Noto Kufi Arabic" w:cs="Noto Kufi Arabic" w:eastAsia="Noto Kufi Arabic"/>
          <w:sz w:val="24"/>
          <w:szCs w:val="24"/>
          <w:rtl/>
          <w:lang w:bidi="ar-SA"/>
        </w:rPr>
        <w:t xml:space="preserve">   </w:t>
      </w:r>
      <w:r>
        <w:rPr>
          <w:rFonts w:ascii="Noto Kufi Arabic" w:hAnsi="Noto Kufi Arabic" w:cs="Noto Kufi Arabic" w:eastAsia="Noto Kufi Arabic"/>
          <w:b/>
          <w:bCs/>
          <w:color w:val="1F2A6B"/>
          <w:sz w:val="24"/>
          <w:szCs w:val="24"/>
          <w:rtl/>
          <w:lang w:bidi="ar-SA"/>
        </w:rPr>
        <w:t>إذا نجح المشروع، فما البدائل المناسبة للتوسع مستقبلًا دون زيادة المخاطر بشكل كبير؟</w:t>
      </w:r>
    </w:p>
    <w:p>
      <w:pPr>
        <w:bidi/>
        <w:jc w:val="both"/>
        <w:spacing w:before="0" w:after="80" w:line="259" w:lineRule="auto"/>
      </w:pPr>
      <w:r>
        <w:rPr>
          <w:rFonts w:ascii="Noto Naskh Arabic" w:hAnsi="Noto Naskh Arabic" w:cs="Noto Naskh Arabic" w:eastAsia="Noto Naskh Arabic"/>
          <w:sz w:val="22"/>
          <w:szCs w:val="22"/>
          <w:rtl/>
          <w:lang w:bidi="ar-SA"/>
        </w:rPr>
        <w:t>التوسع المبكر غير المنضبط من أبرز أسباب تعثر المشاريع الناشئة، لذا ينبغي أن يتبع التوسع مبدأ التدرج: تعميق النموذج الحالي أولًا، ثم التوسع الزمني، ثم المكاني، مع شرط تحقق واضح قبل كل خطوة. والبدائل مرتبة تصاعديًا حسب مستوى المخاطر:</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تطوير خدمة الطلب الإلكتروني (مخاطر منخفضة جدًا): </w:t>
      </w:r>
      <w:r>
        <w:rPr>
          <w:rFonts w:ascii="Noto Naskh Arabic" w:hAnsi="Noto Naskh Arabic" w:cs="Noto Naskh Arabic" w:eastAsia="Noto Naskh Arabic"/>
          <w:sz w:val="22"/>
          <w:szCs w:val="22"/>
          <w:rtl/>
          <w:lang w:bidi="ar-SA"/>
        </w:rPr>
        <w:t>إضافة الدفع الإلكتروني، وحفظ «الطلب المعتاد» للعميلة بضغطة واحدة، وتقديم اشتراك أسبوعي مدفوع مقدمًا. هذه الخطوة تزيد الإيراد وتثبّت الطلب دون أي أصول جديدة.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برنامج ولاء بسيط (مخاطر منخفضة): </w:t>
      </w:r>
      <w:r>
        <w:rPr>
          <w:rFonts w:ascii="Noto Naskh Arabic" w:hAnsi="Noto Naskh Arabic" w:cs="Noto Naskh Arabic" w:eastAsia="Noto Naskh Arabic"/>
          <w:sz w:val="22"/>
          <w:szCs w:val="22"/>
          <w:rtl/>
          <w:lang w:bidi="ar-SA"/>
        </w:rPr>
        <w:t>مثل مشروب مجاني بعد كل تسعة مشروبات، أو نقاط تُستبدل بمخبوزات. يرفع البرنامج معدل التكرار ويحمي من المنافسة بتكلفة محدودة ومعروفة.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التوسع الزمني وتجربة منتج واحد (مخاطر متوسطة): </w:t>
      </w:r>
      <w:r>
        <w:rPr>
          <w:rFonts w:ascii="Noto Naskh Arabic" w:hAnsi="Noto Naskh Arabic" w:cs="Noto Naskh Arabic" w:eastAsia="Noto Naskh Arabic"/>
          <w:sz w:val="22"/>
          <w:szCs w:val="22"/>
          <w:rtl/>
          <w:lang w:bidi="ar-SA"/>
        </w:rPr>
        <w:t>تعزيز الذروة الثانية التي كشفها الشهر الأول بمنتج واحد مناسب لوقت الظهيرة يُختبر لمدة شهر، فإن لم يحقق هدف المبيعات أُلغي، حفاظًا على مبدأ القائمة المركزة.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الطلبات الجماعية والفعاليات الجامعية (مخاطر متوسطة): </w:t>
      </w:r>
      <w:r>
        <w:rPr>
          <w:rFonts w:ascii="Noto Naskh Arabic" w:hAnsi="Noto Naskh Arabic" w:cs="Noto Naskh Arabic" w:eastAsia="Noto Naskh Arabic"/>
          <w:sz w:val="22"/>
          <w:szCs w:val="22"/>
          <w:rtl/>
          <w:lang w:bidi="ar-SA"/>
        </w:rPr>
        <w:t>تقديم القهوة لفعاليات الجامعة والاجتماعات عبر طلبات جماعية مسبقة، وهو إيراد إضافي يستخدم الطاقة نفسها خارج أوقات الذروة.</w:t>
      </w:r>
    </w:p>
    <w:p>
      <w:pPr>
        <w:bidi/>
        <w:jc w:val="both"/>
        <w:spacing w:before="0" w:after="40" w:line="259" w:lineRule="auto"/>
        <w:ind w:right="283" w:hanging="226"/>
      </w:pPr>
      <w:r>
        <w:rPr>
          <w:rFonts w:ascii="Noto Naskh Arabic" w:hAnsi="Noto Naskh Arabic" w:cs="Noto Naskh Arabic" w:eastAsia="Noto Naskh Arabic"/>
          <w:color w:val="7FB539"/>
          <w:sz w:val="16"/>
          <w:szCs w:val="16"/>
          <w:rtl/>
          <w:lang w:bidi="ar-SA"/>
        </w:rPr>
        <w:t xml:space="preserve">■  </w:t>
      </w:r>
      <w:r>
        <w:rPr>
          <w:rFonts w:ascii="Noto Naskh Arabic" w:hAnsi="Noto Naskh Arabic" w:cs="Noto Naskh Arabic" w:eastAsia="Noto Naskh Arabic"/>
          <w:b/>
          <w:bCs/>
          <w:color w:val="1F2A6B"/>
          <w:sz w:val="22"/>
          <w:szCs w:val="22"/>
          <w:rtl/>
          <w:lang w:bidi="ar-SA"/>
        </w:rPr>
        <w:t xml:space="preserve">إضافة عربة ثانية في موقع آخر (مخاطر أعلى): </w:t>
      </w:r>
      <w:r>
        <w:rPr>
          <w:rFonts w:ascii="Noto Naskh Arabic" w:hAnsi="Noto Naskh Arabic" w:cs="Noto Naskh Arabic" w:eastAsia="Noto Naskh Arabic"/>
          <w:sz w:val="22"/>
          <w:szCs w:val="22"/>
          <w:rtl/>
          <w:lang w:bidi="ar-SA"/>
        </w:rPr>
        <w:t>تُضاف فقط بعد التحقق من مؤشرات محددة: ربحية مستقرة لثلاثة أشهر متتالية، وطلبات مسبقة تتجاوز طاقة العربة الحالية في الذروة باستمرار، وتوافر مشرفة موثوقة للعربة الثانية، وتمويل التوسع من الأرباح المحتجزة لا من الاقتراض. ويُفضل أن يكون الموقع الثاني مماثلًا للأول (كلية أخرى أو مبنى الموظفات) لتكرار النموذج المجرَّب لا اختبار نموذج جديد.</w:t>
      </w:r>
    </w:p>
    <w:p>
      <w:pPr>
        <w:bidi/>
        <w:jc w:val="both"/>
        <w:spacing w:before="0" w:after="80" w:line="259" w:lineRule="auto"/>
      </w:pPr>
      <w:r>
        <w:rPr>
          <w:rFonts w:ascii="Noto Naskh Arabic" w:hAnsi="Noto Naskh Arabic" w:cs="Noto Naskh Arabic" w:eastAsia="Noto Naskh Arabic"/>
          <w:sz w:val="22"/>
          <w:szCs w:val="22"/>
          <w:rtl/>
          <w:lang w:bidi="ar-SA"/>
        </w:rPr>
        <w:t>القاعدة الحاكمة لكل هذه البدائل أن يُثبَّت كل مستوى قبل الانتقال إلى التالي، وألّا يمسّ التوسع القيمة الجوهرية للمشروع وهي السرعة؛ فتوسيع القائمة أو إضافة موقع بما يبطئ الخدمة يعني التضحية بالميزة التنافسية نفسها التي قام عليها «وقت القهوة».</w:t>
      </w:r>
    </w:p>
    <w:p>
      <w:pPr>
        <w:bidi/>
        <w:keepNext/>
        <w:jc w:val="right"/>
        <w:spacing w:before="120" w:after="40" w:line="264" w:lineRule="auto"/>
      </w:pPr>
      <w:r>
        <w:rPr>
          <w:rFonts w:ascii="Noto Kufi Arabic" w:hAnsi="Noto Kufi Arabic" w:cs="Noto Kufi Arabic" w:eastAsia="Noto Kufi Arabic"/>
          <w:color w:val="7FB539"/>
          <w:sz w:val="26"/>
          <w:szCs w:val="26"/>
          <w:rtl/>
          <w:lang w:bidi="ar-SA"/>
        </w:rPr>
        <w:t xml:space="preserve">▌ </w:t>
      </w:r>
      <w:r>
        <w:rPr>
          <w:rFonts w:ascii="Noto Kufi Arabic" w:hAnsi="Noto Kufi Arabic" w:cs="Noto Kufi Arabic" w:eastAsia="Noto Kufi Arabic"/>
          <w:b/>
          <w:bCs/>
          <w:color w:val="1F2A6B"/>
          <w:sz w:val="26"/>
          <w:szCs w:val="26"/>
          <w:rtl/>
          <w:lang w:bidi="ar-SA"/>
        </w:rPr>
        <w:t>ثالثًا: الخلاصة</w:t>
      </w:r>
    </w:p>
    <w:p>
      <w:pPr>
        <w:bidi/>
        <w:jc w:val="center"/>
        <w:spacing w:before="0" w:after="80" w:line="240" w:lineRule="auto"/>
        <w:pBdr>
          <w:bottom w:val="single" w:sz="6" w:space="1" w:color="D5DCE8"/>
        </w:pBdr>
      </w:pPr>
    </w:p>
    <w:p>
      <w:pPr>
        <w:bidi/>
        <w:jc w:val="both"/>
        <w:spacing w:before="0" w:after="120" w:line="259" w:lineRule="auto"/>
      </w:pPr>
      <w:r>
        <w:rPr>
          <w:rFonts w:ascii="Noto Naskh Arabic" w:hAnsi="Noto Naskh Arabic" w:cs="Noto Naskh Arabic" w:eastAsia="Noto Naskh Arabic"/>
          <w:sz w:val="22"/>
          <w:szCs w:val="22"/>
          <w:rtl/>
          <w:lang w:bidi="ar-SA"/>
        </w:rPr>
        <w:t>تقدم حالة «وقت القهوة» نموذجًا مصغرًا للعملية الريادية الكاملة: مشكلة يومية ملموسة (الانتظار وقت الذروة) تحولت إلى فرصة لأن ريم فهمت الحاجة الحقيقية (الوقت لا القهوة)، وحددت عميلتها بدقة، وبنت قيمة مقترحة تعالج الألم مباشرة، وتحققت من افتراضاتها قبل الإنفاق، ثم دخلت السوق بأقل استثمار ممكن وتعلمت من بياناته الفعلية. ويبقى نجاح المرحلة التالية مرهونًا بأمرين: حماية الميزة التنافسية بأصول يصعب تقليدها، والتوسع بالتدرج نفسه الذي بدأت به.</w:t>
      </w:r>
    </w:p>
    <w:p>
      <w:pPr>
        <w:bidi/>
        <w:keepNext/>
        <w:jc w:val="right"/>
        <w:spacing w:before="80" w:after="40" w:line="264" w:lineRule="auto"/>
      </w:pPr>
      <w:r>
        <w:rPr>
          <w:rFonts w:ascii="Noto Kufi Arabic" w:hAnsi="Noto Kufi Arabic" w:cs="Noto Kufi Arabic" w:eastAsia="Noto Kufi Arabic"/>
          <w:color w:val="7FB539"/>
          <w:sz w:val="26"/>
          <w:szCs w:val="26"/>
          <w:rtl/>
          <w:lang w:bidi="ar-SA"/>
        </w:rPr>
        <w:t xml:space="preserve">▌ </w:t>
      </w:r>
      <w:r>
        <w:rPr>
          <w:rFonts w:ascii="Noto Kufi Arabic" w:hAnsi="Noto Kufi Arabic" w:cs="Noto Kufi Arabic" w:eastAsia="Noto Kufi Arabic"/>
          <w:b/>
          <w:bCs/>
          <w:color w:val="1F2A6B"/>
          <w:sz w:val="26"/>
          <w:szCs w:val="26"/>
          <w:rtl/>
          <w:lang w:bidi="ar-SA"/>
        </w:rPr>
        <w:t>المراجع المفاهيمية</w:t>
      </w:r>
    </w:p>
    <w:p>
      <w:pPr>
        <w:bidi/>
        <w:jc w:val="center"/>
        <w:spacing w:before="0" w:after="80" w:line="240" w:lineRule="auto"/>
        <w:pBdr>
          <w:bottom w:val="single" w:sz="6" w:space="1" w:color="D5DCE8"/>
        </w:pBdr>
      </w:pPr>
    </w:p>
    <w:p>
      <w:pPr>
        <w:jc w:val="left"/>
        <w:spacing w:before="0" w:after="20" w:line="252" w:lineRule="auto"/>
      </w:pPr>
      <w:r>
        <w:rPr>
          <w:rFonts w:ascii="Noto Sans Arabic" w:hAnsi="Noto Sans Arabic"/>
          <w:color w:val="5A5A5A"/>
          <w:sz w:val="19"/>
        </w:rPr>
        <w:t>Osterwalder, A., &amp; Pigneur, Y. (2014). Value Proposition Design. Wiley.</w:t>
      </w:r>
    </w:p>
    <w:p>
      <w:pPr>
        <w:jc w:val="left"/>
        <w:spacing w:before="0" w:after="20" w:line="252" w:lineRule="auto"/>
      </w:pPr>
      <w:r>
        <w:rPr>
          <w:rFonts w:ascii="Noto Sans Arabic" w:hAnsi="Noto Sans Arabic"/>
          <w:color w:val="5A5A5A"/>
          <w:sz w:val="19"/>
        </w:rPr>
        <w:t>Ries, E. (2011). The Lean Startup. Crown Business.</w:t>
      </w:r>
    </w:p>
    <w:p>
      <w:pPr>
        <w:jc w:val="left"/>
        <w:spacing w:before="0" w:after="20" w:line="252" w:lineRule="auto"/>
      </w:pPr>
      <w:r>
        <w:rPr>
          <w:rFonts w:ascii="Noto Sans Arabic" w:hAnsi="Noto Sans Arabic"/>
          <w:color w:val="5A5A5A"/>
          <w:sz w:val="19"/>
        </w:rPr>
        <w:t>Sarasvathy, S. D. (2001). Causation and effectuation. Academy of Management Review, 26(2).</w:t>
      </w:r>
    </w:p>
    <w:p>
      <w:pPr>
        <w:jc w:val="left"/>
        <w:spacing w:before="0" w:after="20" w:line="252" w:lineRule="auto"/>
      </w:pPr>
      <w:r>
        <w:rPr>
          <w:rFonts w:ascii="Noto Sans Arabic" w:hAnsi="Noto Sans Arabic"/>
          <w:color w:val="5A5A5A"/>
          <w:sz w:val="19"/>
        </w:rPr>
        <w:t>Porter, M. E. (1985). Competitive Advantage. Free Press.</w:t>
      </w:r>
    </w:p>
    <w:sectPr w:rsidR="00FC693F" w:rsidRPr="0006063C" w:rsidSect="00034616">
      <w:footerReference w:type="default" r:id="rId10"/>
      <w:headerReference w:type="default" r:id="rId11"/>
      <w:pgSz w:w="11906" w:h="16838"/>
      <w:pgMar w:top="1077" w:right="1077" w:bottom="1020" w:left="1077" w:header="567" w:footer="510" w:gutter="0"/>
      <w:cols w:space="720"/>
      <w:docGrid w:linePitch="360"/>
      <w:bidi/>
      <w:pgBorders w:offsetFrom="page">
        <w:top w:val="double" w:sz="18" w:space="20" w:color="1F2A6B"/>
        <w:left w:val="double" w:sz="18" w:space="20" w:color="1F2A6B"/>
        <w:bottom w:val="double" w:sz="18" w:space="20" w:color="1F2A6B"/>
        <w:right w:val="double" w:sz="18" w:space="20" w:color="1F2A6B"/>
      </w:pgBorders>
      <w:bidi/>
      <w:pgBorders w:offsetFrom="page">
        <w:top w:val="single" w:sz="6" w:space="24" w:color="B9C6DC"/>
        <w:left w:val="single" w:sz="6" w:space="24" w:color="B9C6DC"/>
        <w:bottom w:val="single" w:sz="6" w:space="24" w:color="B9C6DC"/>
        <w:right w:val="single" w:sz="6" w:space="24" w:color="B9C6DC"/>
      </w:pgBorders>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spacing w:before="0" w:after="0" w:line="240" w:lineRule="auto"/>
    </w:pPr>
    <w:r>
      <w:rPr>
        <w:rFonts w:ascii="Noto Kufi Arabic" w:hAnsi="Noto Kufi Arabic" w:cs="Noto Kufi Arabic" w:eastAsia="Noto Kufi Arabic"/>
        <w:color w:val="5A5A5A"/>
        <w:sz w:val="18"/>
        <w:szCs w:val="18"/>
        <w:rtl/>
        <w:lang w:bidi="ar-SA"/>
      </w:rPr>
      <w:t xml:space="preserve">رهف محمد الزهراني   ·   صفحة  </w:t>
    </w:r>
    <w:r>
      <w:rPr>
        <w:rFonts w:ascii="Noto Naskh Arabic" w:hAnsi="Noto Naskh Arabic" w:cs="Noto Naskh Arabic" w:eastAsia="Noto Naskh Arabic"/>
        <w:color w:val="5A5A5A"/>
        <w:sz w:val="18"/>
        <w:szCs w:val="18"/>
        <w:rtl/>
        <w:lang w:bidi="ar-SA"/>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spacing w:before="0" w:after="0" w:line="240" w:lineRule="auto"/>
      <w:pBdr>
        <w:bottom w:val="single" w:sz="6" w:space="4" w:color="7FB539"/>
      </w:pBdr>
    </w:pPr>
    <w:r>
      <w:rPr>
        <w:rFonts w:ascii="Noto Kufi Arabic" w:hAnsi="Noto Kufi Arabic" w:cs="Noto Kufi Arabic" w:eastAsia="Noto Kufi Arabic"/>
        <w:color w:val="5A5A5A"/>
        <w:sz w:val="18"/>
        <w:szCs w:val="18"/>
        <w:rtl/>
        <w:lang w:bidi="ar-SA"/>
      </w:rPr>
      <w:t>جامعة الباحة  |  مقرر ريادة الأعمال  |  الواجب الأول: دراسة حالة «وقت القهوة»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rFonts w:ascii="Noto Naskh Arabic" w:hAnsi="Noto Naskh Arabic"/>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