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distT="0" distB="0" distL="0" distR="0">
            <wp:extent cx="2103120" cy="1744128"/>
            <wp:effectExtent l="0" t="0" r="0" b="0"/>
            <wp:docPr id="1" name="NextTargetLogo" descr="Next Target Training 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xtTargetLog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7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3A52"/>
          <w:sz w:val="64"/>
        </w:rPr>
        <w:t>الخطة التشغيلية</w:t>
        <w:br/>
        <w:t>Operational Plan</w:t>
      </w:r>
    </w:p>
    <w:p>
      <w:pPr>
        <w:jc w:val="center"/>
      </w:pPr>
      <w:r>
        <w:rPr>
          <w:color w:val="2ECC71"/>
          <w:sz w:val="36"/>
        </w:rPr>
        <w:t>Next Target Training Company</w:t>
        <w:br/>
        <w:t>نكست تارجت للتدريب</w:t>
      </w:r>
    </w:p>
    <w:p>
      <w:pPr>
        <w:jc w:val="center"/>
      </w:pPr>
      <w:r>
        <w:rPr>
          <w:i/>
          <w:sz w:val="28"/>
        </w:rPr>
        <w:t>Q1 2026 - الربع الأول</w:t>
      </w:r>
    </w:p>
    <w:p>
      <w:pPr>
        <w:jc w:val="center"/>
      </w:pPr>
      <w:r>
        <w:rPr>
          <w:sz w:val="24"/>
        </w:rPr>
        <w:t>August 2026</w:t>
      </w:r>
    </w:p>
    <w:p>
      <w:r>
        <w:br w:type="page"/>
      </w:r>
    </w:p>
    <w:p>
      <w:pPr>
        <w:pStyle w:val="Heading1"/>
        <w:jc w:val="center"/>
      </w:pPr>
      <w:r>
        <w:t>جدول المحتويات</w:t>
        <w:br/>
        <w:t>Table of Contents</w:t>
      </w:r>
    </w:p>
    <w:p>
      <w:pPr>
        <w:pStyle w:val="ListBullet"/>
        <w:ind w:left="720"/>
      </w:pPr>
      <w:r>
        <w:t>1. الملخص التنفيذي | Executive Summary</w:t>
      </w:r>
    </w:p>
    <w:p>
      <w:pPr>
        <w:pStyle w:val="ListBullet"/>
        <w:ind w:left="720"/>
      </w:pPr>
      <w:r>
        <w:t>2. هيكل التشغيل | Operational Structure</w:t>
      </w:r>
    </w:p>
    <w:p>
      <w:pPr>
        <w:pStyle w:val="ListBullet"/>
        <w:ind w:left="720"/>
      </w:pPr>
      <w:r>
        <w:t>3. الميزانية المالية | Financial Budget</w:t>
      </w:r>
    </w:p>
    <w:p>
      <w:pPr>
        <w:pStyle w:val="ListBullet"/>
        <w:ind w:left="720"/>
      </w:pPr>
      <w:r>
        <w:t>4. آليات التنفيذ | Implementation Methods</w:t>
      </w:r>
    </w:p>
    <w:p>
      <w:pPr>
        <w:pStyle w:val="ListBullet"/>
        <w:ind w:left="720"/>
      </w:pPr>
      <w:r>
        <w:t>5. المؤشرات الرئيسية | Key Performance Indicators</w:t>
      </w:r>
    </w:p>
    <w:p>
      <w:r>
        <w:br w:type="page"/>
      </w:r>
    </w:p>
    <w:p>
      <w:pPr>
        <w:pStyle w:val="Heading1"/>
      </w:pPr>
      <w:r>
        <w:t>1. الملخص التنفيذي | Executive Summary</w:t>
      </w:r>
    </w:p>
    <w:p>
      <w:r>
        <w:br/>
        <w:t>هذه الخطة التشغيلية تركز على تشغيل شركة نكست تارجت للتدريب والاستشارات بكفاءة عالية وبأقل التكاليف الممكنة للربع الأول من عام ٢٠٢٦.</w:t>
        <w:br/>
        <w:br/>
        <w:t>This operational plan focuses on efficiently operating Next Target Training Company with minimal costs for Q1 2026.</w:t>
        <w:br/>
        <w:br/>
        <w:t>الأهداف الرئيسية | Main Objectives:</w:t>
        <w:br/>
      </w:r>
    </w:p>
    <w:p>
      <w:pPr>
        <w:pStyle w:val="ListBullet"/>
      </w:pPr>
      <w:r>
        <w:t>تقديم برامج تدريبية عالية الجودة | Deliver high-quality training programs</w:t>
      </w:r>
    </w:p>
    <w:p>
      <w:pPr>
        <w:pStyle w:val="ListBullet"/>
      </w:pPr>
      <w:r>
        <w:t>تحسين الربحية من خلال تحسين العمليات | Improve profitability through process optimization</w:t>
      </w:r>
    </w:p>
    <w:p>
      <w:pPr>
        <w:pStyle w:val="ListBullet"/>
      </w:pPr>
      <w:r>
        <w:t>بناء سمعة قوية في السوق السعودي | Build strong market reputation</w:t>
      </w:r>
    </w:p>
    <w:p>
      <w:pPr>
        <w:pStyle w:val="ListBullet"/>
      </w:pPr>
      <w:r>
        <w:t>توسيع قاعدة العملاء | Expand client base</w:t>
      </w:r>
    </w:p>
    <w:p>
      <w:r>
        <w:br w:type="page"/>
      </w:r>
    </w:p>
    <w:p>
      <w:pPr>
        <w:pStyle w:val="Heading1"/>
      </w:pPr>
      <w:r>
        <w:t>2. هيكل التشغيل | Operational Structure</w:t>
      </w:r>
    </w:p>
    <w:p>
      <w:pPr>
        <w:pStyle w:val="Heading2"/>
      </w:pPr>
      <w:r>
        <w:t>الهيكل الإداري المقترح | Proposed Administrative Structure</w:t>
      </w:r>
    </w:p>
    <w:tbl>
      <w:tblPr>
        <w:tblStyle w:val="LightGrid-Accent1"/>
        <w:tblW w:type="auto" w:w="0"/>
        <w:tblLook w:firstColumn="0" w:firstRow="1" w:lastColumn="0" w:lastRow="0" w:noHBand="0" w:noVBand="1" w:val="0480"/>
      </w:tblPr>
      <w:tblGrid>
        <w:gridCol w:w="4680"/>
        <w:gridCol w:w="4680"/>
      </w:tblGrid>
      <w:tr>
        <w:tc>
          <w:tcPr>
            <w:tcW w:type="dxa" w:w="4680"/>
            <w:shd w:val="clear" w:color="auto" w:fill="1A3A52"/>
          </w:tcPr>
          <w:p>
            <w:r>
              <w:rPr>
                <w:b/>
                <w:color w:val="FFFFFF"/>
              </w:rPr>
              <w:t>الموظف | Staff</w:t>
            </w:r>
          </w:p>
        </w:tc>
        <w:tc>
          <w:tcPr>
            <w:tcW w:type="dxa" w:w="4680"/>
            <w:shd w:val="clear" w:color="auto" w:fill="1A3A52"/>
          </w:tcPr>
          <w:p>
            <w:r>
              <w:rPr>
                <w:b/>
                <w:color w:val="FFFFFF"/>
              </w:rPr>
              <w:t>الراتب الشهري | Monthly Salary (SAR)</w:t>
            </w:r>
          </w:p>
        </w:tc>
      </w:tr>
      <w:tr>
        <w:tc>
          <w:tcPr>
            <w:tcW w:type="dxa" w:w="4680"/>
          </w:tcPr>
          <w:p>
            <w:r>
              <w:t>مدير العمليات | Operations Manager</w:t>
            </w:r>
          </w:p>
        </w:tc>
        <w:tc>
          <w:tcPr>
            <w:tcW w:type="dxa" w:w="4680"/>
          </w:tcPr>
          <w:p>
            <w:r>
              <w:t>10,500</w:t>
            </w:r>
          </w:p>
        </w:tc>
      </w:tr>
      <w:tr>
        <w:tc>
          <w:tcPr>
            <w:tcW w:type="dxa" w:w="4680"/>
          </w:tcPr>
          <w:p>
            <w:r>
              <w:t>منسق التدريب | Training Coordinator</w:t>
            </w:r>
          </w:p>
        </w:tc>
        <w:tc>
          <w:tcPr>
            <w:tcW w:type="dxa" w:w="4680"/>
          </w:tcPr>
          <w:p>
            <w:r>
              <w:t>4,500</w:t>
            </w:r>
          </w:p>
        </w:tc>
      </w:tr>
      <w:tr>
        <w:tc>
          <w:tcPr>
            <w:tcW w:type="dxa" w:w="4680"/>
            <w:shd w:val="clear" w:color="auto" w:fill="ECF0F1"/>
          </w:tcPr>
          <w:p>
            <w:r>
              <w:rPr>
                <w:b/>
                <w:color w:val="1A3A52"/>
              </w:rPr>
              <w:t>إجمالي الرواتب | Total Salaries</w:t>
            </w:r>
          </w:p>
        </w:tc>
        <w:tc>
          <w:tcPr>
            <w:tcW w:type="dxa" w:w="4680"/>
            <w:shd w:val="clear" w:color="auto" w:fill="ECF0F1"/>
          </w:tcPr>
          <w:p>
            <w:r>
              <w:rPr>
                <w:b/>
                <w:color w:val="1A3A52"/>
              </w:rPr>
              <w:t>15,000 SAR</w:t>
            </w:r>
          </w:p>
        </w:tc>
      </w:tr>
    </w:tbl>
    <w:p/>
    <w:p>
      <w:pPr>
        <w:pStyle w:val="Heading2"/>
      </w:pPr>
      <w:r>
        <w:t>العمليات الرئيسية | Key Operations</w:t>
      </w:r>
    </w:p>
    <w:p>
      <w:pPr>
        <w:pStyle w:val="ListBullet"/>
      </w:pPr>
      <w:r>
        <w:t>التدريب عن بعد | Online Training</w:t>
      </w:r>
      <w:r>
        <w:rPr>
          <w:i/>
        </w:rPr>
        <w:t xml:space="preserve"> - الحد الأدنى من التكاليف، أقصى وصول | Minimal costs, maximum reach</w:t>
      </w:r>
    </w:p>
    <w:p>
      <w:pPr>
        <w:pStyle w:val="ListBullet"/>
      </w:pPr>
      <w:r>
        <w:t>المحتوى الرقمي | Digital Content</w:t>
      </w:r>
      <w:r>
        <w:rPr>
          <w:i/>
        </w:rPr>
        <w:t xml:space="preserve"> - إنتاج في الموقع، إعادة استخدام عالية | In-house production, high reuse</w:t>
      </w:r>
    </w:p>
    <w:p>
      <w:pPr>
        <w:pStyle w:val="ListBullet"/>
      </w:pPr>
      <w:r>
        <w:t>إدارة العملاء | Client Management</w:t>
      </w:r>
      <w:r>
        <w:rPr>
          <w:i/>
        </w:rPr>
        <w:t xml:space="preserve"> - منصة CRM بسيطة | Simple CRM platform</w:t>
      </w:r>
    </w:p>
    <w:p>
      <w:r>
        <w:br w:type="page"/>
      </w:r>
    </w:p>
    <w:p>
      <w:pPr>
        <w:pStyle w:val="Heading1"/>
      </w:pPr>
      <w:r>
        <w:t>3. الميزانية المالية | Financial Budget</w:t>
      </w:r>
    </w:p>
    <w:p>
      <w:pPr>
        <w:pStyle w:val="Heading2"/>
      </w:pPr>
      <w:r>
        <w:t>تفصيل النفقات | Budget Breakdown (Q1 2026)</w:t>
      </w:r>
    </w:p>
    <w:tbl>
      <w:tblPr>
        <w:tblStyle w:val="LightGrid-Accent1"/>
        <w:tblW w:type="auto" w:w="0"/>
        <w:tblLook w:firstColumn="0" w:firstRow="1" w:lastColumn="0" w:lastRow="0" w:noHBand="0" w:noVBand="1" w:val="048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52"/>
          </w:tcPr>
          <w:p>
            <w:r>
              <w:rPr>
                <w:b/>
                <w:color w:val="FFFFFF"/>
              </w:rPr>
              <w:t>البند | Item</w:t>
            </w:r>
          </w:p>
        </w:tc>
        <w:tc>
          <w:tcPr>
            <w:tcW w:type="dxa" w:w="3120"/>
            <w:shd w:val="clear" w:color="auto" w:fill="1A3A52"/>
          </w:tcPr>
          <w:p>
            <w:r>
              <w:rPr>
                <w:b/>
                <w:color w:val="FFFFFF"/>
              </w:rPr>
              <w:t>المبلغ | Amount (SAR)</w:t>
            </w:r>
          </w:p>
        </w:tc>
        <w:tc>
          <w:tcPr>
            <w:tcW w:type="dxa" w:w="3120"/>
            <w:shd w:val="clear" w:color="auto" w:fill="1A3A52"/>
          </w:tcPr>
          <w:p>
            <w:r>
              <w:rPr>
                <w:b/>
                <w:color w:val="FFFFFF"/>
              </w:rPr>
              <w:t>الملاحظات | Notes</w:t>
            </w:r>
          </w:p>
        </w:tc>
      </w:tr>
      <w:tr>
        <w:tc>
          <w:tcPr>
            <w:tcW w:type="dxa" w:w="3120"/>
          </w:tcPr>
          <w:p>
            <w:r>
              <w:t>رواتب الموظفين | Staff Salaries</w:t>
            </w:r>
          </w:p>
        </w:tc>
        <w:tc>
          <w:tcPr>
            <w:tcW w:type="dxa" w:w="3120"/>
          </w:tcPr>
          <w:p>
            <w:r>
              <w:t>45,000</w:t>
            </w:r>
          </w:p>
        </w:tc>
        <w:tc>
          <w:tcPr>
            <w:tcW w:type="dxa" w:w="3120"/>
          </w:tcPr>
          <w:p>
            <w:r>
              <w:t>15,000 شهري × 3 أشهر | 15,000/month × 3</w:t>
            </w:r>
          </w:p>
        </w:tc>
      </w:tr>
      <w:tr>
        <w:tc>
          <w:tcPr>
            <w:tcW w:type="dxa" w:w="3120"/>
          </w:tcPr>
          <w:p>
            <w:r>
              <w:t>التسويق والمحتوى | Marketing &amp; Content</w:t>
            </w:r>
          </w:p>
        </w:tc>
        <w:tc>
          <w:tcPr>
            <w:tcW w:type="dxa" w:w="3120"/>
          </w:tcPr>
          <w:p>
            <w:r>
              <w:t>18,000</w:t>
            </w:r>
          </w:p>
        </w:tc>
        <w:tc>
          <w:tcPr>
            <w:tcW w:type="dxa" w:w="3120"/>
          </w:tcPr>
          <w:p>
            <w:r>
              <w:t>6,000 شهري | 6,000/month</w:t>
            </w:r>
          </w:p>
        </w:tc>
      </w:tr>
      <w:tr>
        <w:tc>
          <w:tcPr>
            <w:tcW w:type="dxa" w:w="3120"/>
          </w:tcPr>
          <w:p>
            <w:r>
              <w:t>التراخيص والتأمين | Licenses &amp; Insurance</w:t>
            </w:r>
          </w:p>
        </w:tc>
        <w:tc>
          <w:tcPr>
            <w:tcW w:type="dxa" w:w="3120"/>
          </w:tcPr>
          <w:p>
            <w:r>
              <w:t>15,000</w:t>
            </w:r>
          </w:p>
        </w:tc>
        <w:tc>
          <w:tcPr>
            <w:tcW w:type="dxa" w:w="3120"/>
          </w:tcPr>
          <w:p>
            <w:r>
              <w:t>مبلغ مقطوع | One-time</w:t>
            </w:r>
          </w:p>
        </w:tc>
      </w:tr>
      <w:tr>
        <w:tc>
          <w:tcPr>
            <w:tcW w:type="dxa" w:w="3120"/>
          </w:tcPr>
          <w:p>
            <w:r>
              <w:t>المرافق والمصروفات الإدارية | Utilities &amp; Admin</w:t>
            </w:r>
          </w:p>
        </w:tc>
        <w:tc>
          <w:tcPr>
            <w:tcW w:type="dxa" w:w="3120"/>
          </w:tcPr>
          <w:p>
            <w:r>
              <w:t>12,000</w:t>
            </w:r>
          </w:p>
        </w:tc>
        <w:tc>
          <w:tcPr>
            <w:tcW w:type="dxa" w:w="3120"/>
          </w:tcPr>
          <w:p>
            <w:r>
              <w:t>4,000 شهري | 4,000/month</w:t>
            </w:r>
          </w:p>
        </w:tc>
      </w:tr>
      <w:tr>
        <w:tc>
          <w:tcPr>
            <w:tcW w:type="dxa" w:w="3120"/>
          </w:tcPr>
          <w:p>
            <w:r>
              <w:t>الأدوات التقنية | Technical Tools</w:t>
            </w:r>
          </w:p>
        </w:tc>
        <w:tc>
          <w:tcPr>
            <w:tcW w:type="dxa" w:w="3120"/>
          </w:tcPr>
          <w:p>
            <w:r>
              <w:t>10,000</w:t>
            </w:r>
          </w:p>
        </w:tc>
        <w:tc>
          <w:tcPr>
            <w:tcW w:type="dxa" w:w="3120"/>
          </w:tcPr>
          <w:p>
            <w:r>
              <w:t>منصات التدريب | Training platforms</w:t>
            </w:r>
          </w:p>
        </w:tc>
      </w:tr>
      <w:tr>
        <w:tc>
          <w:tcPr>
            <w:tcW w:type="dxa" w:w="3120"/>
            <w:shd w:val="clear" w:color="auto" w:fill="ECF0F1"/>
          </w:tcPr>
          <w:p>
            <w:r>
              <w:rPr>
                <w:b/>
                <w:sz w:val="24"/>
                <w:color w:val="1A3A52"/>
              </w:rPr>
              <w:t>الإجمالي | TOTAL</w:t>
            </w:r>
          </w:p>
        </w:tc>
        <w:tc>
          <w:tcPr>
            <w:tcW w:type="dxa" w:w="3120"/>
            <w:shd w:val="clear" w:color="auto" w:fill="ECF0F1"/>
          </w:tcPr>
          <w:p>
            <w:r>
              <w:rPr>
                <w:b/>
                <w:sz w:val="24"/>
                <w:color w:val="1A3A52"/>
              </w:rPr>
              <w:t>100,000</w:t>
            </w:r>
          </w:p>
        </w:tc>
        <w:tc>
          <w:tcPr>
            <w:tcW w:type="dxa" w:w="3120"/>
            <w:shd w:val="clear" w:color="auto" w:fill="ECF0F1"/>
          </w:tcPr>
          <w:p>
            <w:r>
              <w:rPr>
                <w:b/>
                <w:sz w:val="24"/>
                <w:color w:val="1A3A52"/>
              </w:rPr>
              <w:t>الحد الأقصى للربع الأول | Q1 Maximum</w:t>
            </w:r>
          </w:p>
        </w:tc>
      </w:tr>
    </w:tbl>
    <w:p/>
    <w:p>
      <w:r>
        <w:rPr>
          <w:b/>
        </w:rPr>
        <w:t>ملخص المالية | Financial Summary:</w:t>
        <w:br/>
      </w:r>
      <w:r>
        <w:t>• إجمالي الموارد المتاحة: 100,000 ريال</w:t>
        <w:br/>
        <w:t>• Total Available: 100,000 SAR</w:t>
        <w:br/>
        <w:t>• النسبة المئوية للرواتب: 45%</w:t>
        <w:br/>
        <w:t>• Salary Percentage: 45%</w:t>
        <w:br/>
        <w:t>• نسبة التسويق: 18%</w:t>
        <w:br/>
        <w:t>• Marketing Ratio: 18%</w:t>
      </w:r>
    </w:p>
    <w:p>
      <w:r>
        <w:br w:type="page"/>
      </w:r>
    </w:p>
    <w:p>
      <w:pPr>
        <w:pStyle w:val="Heading1"/>
      </w:pPr>
      <w:r>
        <w:t>4. آليات التنفيذ | Implementation Methods</w:t>
      </w:r>
    </w:p>
    <w:p>
      <w:pPr>
        <w:pStyle w:val="Heading2"/>
      </w:pPr>
      <w:r>
        <w:t>استراتيجية التسويق | Marketing Strategy</w:t>
      </w:r>
    </w:p>
    <w:p>
      <w:pPr>
        <w:pStyle w:val="ListBullet"/>
      </w:pPr>
      <w:r>
        <w:t>وسائل التواصل الاجتماعي | Social Media</w:t>
      </w:r>
      <w:r>
        <w:rPr>
          <w:i/>
        </w:rPr>
        <w:t xml:space="preserve"> - عمل عضوي، تكلفة صفر | Organic, zero cost</w:t>
      </w:r>
    </w:p>
    <w:p>
      <w:pPr>
        <w:pStyle w:val="ListBullet"/>
      </w:pPr>
      <w:r>
        <w:t>تسويق المحتوى | Content Marketing</w:t>
      </w:r>
      <w:r>
        <w:rPr>
          <w:i/>
        </w:rPr>
        <w:t xml:space="preserve"> - منشورات أسبوعية، إعادة استخدام عالية | Weekly posts, high reuse</w:t>
      </w:r>
    </w:p>
    <w:p>
      <w:pPr>
        <w:pStyle w:val="ListBullet"/>
      </w:pPr>
      <w:r>
        <w:t>الشراكات الاستراتيجية | Strategic Partnerships</w:t>
      </w:r>
      <w:r>
        <w:rPr>
          <w:i/>
        </w:rPr>
        <w:t xml:space="preserve"> - تعاون مع شركات أخرى | Collaboration with other companies</w:t>
      </w:r>
    </w:p>
    <w:p>
      <w:pPr>
        <w:pStyle w:val="ListBullet"/>
      </w:pPr>
      <w:r>
        <w:t>التسويق عبر البريد الإلكتروني | Email Marketing</w:t>
      </w:r>
      <w:r>
        <w:rPr>
          <w:i/>
        </w:rPr>
        <w:t xml:space="preserve"> - قائمة موجودة + العملاء الجدد | Existing list + new clients</w:t>
      </w:r>
    </w:p>
    <w:p>
      <w:pPr>
        <w:pStyle w:val="Heading2"/>
      </w:pPr>
      <w:r>
        <w:t>إدارة العمليات | Operations Management</w:t>
      </w:r>
    </w:p>
    <w:p>
      <w:r>
        <w:t>إدارة العمليات التشغيلية تتم من خلال:</w:t>
        <w:br/>
        <w:t>Operations management is handled through:</w:t>
        <w:br/>
      </w:r>
    </w:p>
    <w:p>
      <w:pPr>
        <w:pStyle w:val="ListBullet"/>
      </w:pPr>
      <w:r>
        <w:t>نظام إدارة العملاء البسيط | Simple CRM System</w:t>
      </w:r>
    </w:p>
    <w:p>
      <w:pPr>
        <w:pStyle w:val="ListBullet"/>
      </w:pPr>
      <w:r>
        <w:t>جداول العمل الآلية | Automated Scheduling</w:t>
      </w:r>
    </w:p>
    <w:p>
      <w:pPr>
        <w:pStyle w:val="ListBullet"/>
      </w:pPr>
      <w:r>
        <w:t>التتبع الإلكتروني للأداء | Electronic Performance Tracking</w:t>
      </w:r>
    </w:p>
    <w:p>
      <w:pPr>
        <w:pStyle w:val="ListBullet"/>
      </w:pPr>
      <w:r>
        <w:t>الاجتماعات الشهرية للمراجعة | Monthly Review Meetings</w:t>
      </w:r>
    </w:p>
    <w:p>
      <w:r>
        <w:br w:type="page"/>
      </w:r>
    </w:p>
    <w:p>
      <w:pPr>
        <w:pStyle w:val="Heading1"/>
      </w:pPr>
      <w:r>
        <w:t>5. المؤشرات الرئيسية | Key Performance Indicators</w:t>
      </w:r>
    </w:p>
    <w:tbl>
      <w:tblPr>
        <w:tblStyle w:val="LightGrid-Accent1"/>
        <w:tblW w:type="auto" w:w="0"/>
        <w:tblLook w:firstColumn="0" w:firstRow="1" w:lastColumn="0" w:lastRow="0" w:noHBand="0" w:noVBand="1" w:val="048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A52"/>
          </w:tcPr>
          <w:p>
            <w:r>
              <w:rPr>
                <w:b/>
                <w:color w:val="FFFFFF"/>
              </w:rPr>
              <w:t>المؤشر | KPI</w:t>
            </w:r>
          </w:p>
        </w:tc>
        <w:tc>
          <w:tcPr>
            <w:tcW w:type="dxa" w:w="3120"/>
            <w:shd w:val="clear" w:color="auto" w:fill="1A3A52"/>
          </w:tcPr>
          <w:p>
            <w:r>
              <w:rPr>
                <w:b/>
                <w:color w:val="FFFFFF"/>
              </w:rPr>
              <w:t>الهدف | Target</w:t>
            </w:r>
          </w:p>
        </w:tc>
        <w:tc>
          <w:tcPr>
            <w:tcW w:type="dxa" w:w="3120"/>
            <w:shd w:val="clear" w:color="auto" w:fill="1A3A52"/>
          </w:tcPr>
          <w:p>
            <w:r>
              <w:rPr>
                <w:b/>
                <w:color w:val="FFFFFF"/>
              </w:rPr>
              <w:t>التكرار | Frequency</w:t>
            </w:r>
          </w:p>
        </w:tc>
      </w:tr>
      <w:tr>
        <w:tc>
          <w:tcPr>
            <w:tcW w:type="dxa" w:w="3120"/>
          </w:tcPr>
          <w:p>
            <w:r>
              <w:t>عدد العملاء الجدد | New Clients</w:t>
            </w:r>
          </w:p>
        </w:tc>
        <w:tc>
          <w:tcPr>
            <w:tcW w:type="dxa" w:w="3120"/>
          </w:tcPr>
          <w:p>
            <w:r>
              <w:t>20+</w:t>
            </w:r>
          </w:p>
        </w:tc>
        <w:tc>
          <w:tcPr>
            <w:tcW w:type="dxa" w:w="3120"/>
          </w:tcPr>
          <w:p>
            <w:r>
              <w:t>شهري | Monthly</w:t>
            </w:r>
          </w:p>
        </w:tc>
      </w:tr>
      <w:tr>
        <w:tc>
          <w:tcPr>
            <w:tcW w:type="dxa" w:w="3120"/>
          </w:tcPr>
          <w:p>
            <w:r>
              <w:t>معدل الرضا | Satisfaction Rate</w:t>
            </w:r>
          </w:p>
        </w:tc>
        <w:tc>
          <w:tcPr>
            <w:tcW w:type="dxa" w:w="3120"/>
          </w:tcPr>
          <w:p>
            <w:r>
              <w:t>85%+</w:t>
            </w:r>
          </w:p>
        </w:tc>
        <w:tc>
          <w:tcPr>
            <w:tcW w:type="dxa" w:w="3120"/>
          </w:tcPr>
          <w:p>
            <w:r>
              <w:t>شهري | Monthly</w:t>
            </w:r>
          </w:p>
        </w:tc>
      </w:tr>
      <w:tr>
        <w:tc>
          <w:tcPr>
            <w:tcW w:type="dxa" w:w="3120"/>
          </w:tcPr>
          <w:p>
            <w:r>
              <w:t>عائد الاستثمار | ROI</w:t>
            </w:r>
          </w:p>
        </w:tc>
        <w:tc>
          <w:tcPr>
            <w:tcW w:type="dxa" w:w="3120"/>
          </w:tcPr>
          <w:p>
            <w:r>
              <w:t>200%+</w:t>
            </w:r>
          </w:p>
        </w:tc>
        <w:tc>
          <w:tcPr>
            <w:tcW w:type="dxa" w:w="3120"/>
          </w:tcPr>
          <w:p>
            <w:r>
              <w:t>ربع سنوي | Quarterly</w:t>
            </w:r>
          </w:p>
        </w:tc>
      </w:tr>
      <w:tr>
        <w:tc>
          <w:tcPr>
            <w:tcW w:type="dxa" w:w="3120"/>
          </w:tcPr>
          <w:p>
            <w:r>
              <w:t>تكلفة اكتساب العميل | CAC</w:t>
            </w:r>
          </w:p>
        </w:tc>
        <w:tc>
          <w:tcPr>
            <w:tcW w:type="dxa" w:w="3120"/>
          </w:tcPr>
          <w:p>
            <w:r>
              <w:t>&lt;500 ريال</w:t>
            </w:r>
          </w:p>
        </w:tc>
        <w:tc>
          <w:tcPr>
            <w:tcW w:type="dxa" w:w="3120"/>
          </w:tcPr>
          <w:p>
            <w:r>
              <w:t>شهري | Monthly</w:t>
            </w:r>
          </w:p>
        </w:tc>
      </w:tr>
      <w:tr>
        <w:tc>
          <w:tcPr>
            <w:tcW w:type="dxa" w:w="3120"/>
          </w:tcPr>
          <w:p>
            <w:r>
              <w:t>هامش الربح | Profit Margin</w:t>
            </w:r>
          </w:p>
        </w:tc>
        <w:tc>
          <w:tcPr>
            <w:tcW w:type="dxa" w:w="3120"/>
          </w:tcPr>
          <w:p>
            <w:r>
              <w:t>30%+</w:t>
            </w:r>
          </w:p>
        </w:tc>
        <w:tc>
          <w:tcPr>
            <w:tcW w:type="dxa" w:w="3120"/>
          </w:tcPr>
          <w:p>
            <w:r>
              <w:t>شهري | Monthly</w:t>
            </w:r>
          </w:p>
        </w:tc>
      </w:tr>
    </w:tbl>
    <w:p/>
    <w:p>
      <w:pPr>
        <w:jc w:val="center"/>
      </w:pPr>
      <w:r>
        <w:rPr>
          <w:i/>
          <w:sz w:val="22"/>
        </w:rPr>
        <w:br/>
        <w:br/>
        <w:t>هذه الخطة التشغيلية متوازنة وقابلة للتطبيق بفعالية عالية</w:t>
        <w:br/>
        <w:t>This operational plan is balanced and highly executable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A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498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A3A52"/>
        <w:left w:val="single" w:sz="8" w:space="0" w:color="1A3A52"/>
        <w:bottom w:val="single" w:sz="8" w:space="0" w:color="1A3A52"/>
        <w:right w:val="single" w:sz="8" w:space="0" w:color="1A3A52"/>
        <w:insideH w:val="single" w:sz="8" w:space="0" w:color="1A3A52"/>
        <w:insideV w:val="single" w:sz="8" w:space="0" w:color="1A3A5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FFFFFF"/>
      </w:rPr>
      <w:tblPr/>
      <w:tcPr>
        <w:tcBorders>
          <w:top w:val="single" w:sz="8" w:space="0" w:color="1A3A52"/>
          <w:left w:val="single" w:sz="8" w:space="0" w:color="1A3A52"/>
          <w:bottom w:val="single" w:sz="18" w:space="0" w:color="1A3A52"/>
          <w:right w:val="single" w:sz="8" w:space="0" w:color="1A3A52"/>
          <w:insideH w:val="nil"/>
          <w:insideV w:val="single" w:sz="8" w:space="0" w:color="1A3A52"/>
        </w:tcBorders>
        <w:shd w:val="clear" w:color="auto" w:fill="1A3A52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1A3A52"/>
      </w:rPr>
      <w:tblPr/>
      <w:tcPr>
        <w:tcBorders>
          <w:top w:val="double" w:sz="6" w:space="0" w:color="1A3A52"/>
          <w:left w:val="single" w:sz="8" w:space="0" w:color="1A3A52"/>
          <w:bottom w:val="single" w:sz="8" w:space="0" w:color="1A3A52"/>
          <w:right w:val="single" w:sz="8" w:space="0" w:color="1A3A52"/>
          <w:insideH w:val="nil"/>
          <w:insideV w:val="single" w:sz="8" w:space="0" w:color="1A3A52"/>
        </w:tcBorders>
        <w:shd w:val="clear" w:color="auto" w:fill="ECF0F1"/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3A52"/>
          <w:left w:val="single" w:sz="8" w:space="0" w:color="1A3A52"/>
          <w:bottom w:val="single" w:sz="8" w:space="0" w:color="1A3A52"/>
          <w:right w:val="single" w:sz="8" w:space="0" w:color="1A3A52"/>
        </w:tcBorders>
      </w:tcPr>
    </w:tblStylePr>
    <w:tblStylePr w:type="band1Vert">
      <w:tblPr/>
      <w:tcPr>
        <w:tcBorders>
          <w:top w:val="single" w:sz="8" w:space="0" w:color="1A3A52"/>
          <w:left w:val="single" w:sz="8" w:space="0" w:color="1A3A52"/>
          <w:bottom w:val="single" w:sz="8" w:space="0" w:color="1A3A52"/>
          <w:right w:val="single" w:sz="8" w:space="0" w:color="1A3A52"/>
        </w:tcBorders>
        <w:shd w:val="clear" w:color="auto" w:fill="EAF0F5"/>
      </w:tcPr>
    </w:tblStylePr>
    <w:tblStylePr w:type="band1Horz">
      <w:tblPr/>
      <w:tcPr>
        <w:tcBorders>
          <w:top w:val="single" w:sz="8" w:space="0" w:color="1A3A52"/>
          <w:left w:val="single" w:sz="8" w:space="0" w:color="1A3A52"/>
          <w:bottom w:val="single" w:sz="8" w:space="0" w:color="1A3A52"/>
          <w:right w:val="single" w:sz="8" w:space="0" w:color="1A3A52"/>
          <w:insideV w:val="single" w:sz="8" w:space="0" w:color="1A3A52"/>
        </w:tcBorders>
        <w:shd w:val="clear" w:color="auto" w:fill="EAF0F5"/>
      </w:tcPr>
    </w:tblStylePr>
    <w:tblStylePr w:type="band2Horz">
      <w:tblPr/>
      <w:tcPr>
        <w:tcBorders>
          <w:top w:val="single" w:sz="8" w:space="0" w:color="1A3A52"/>
          <w:left w:val="single" w:sz="8" w:space="0" w:color="1A3A52"/>
          <w:bottom w:val="single" w:sz="8" w:space="0" w:color="1A3A52"/>
          <w:right w:val="single" w:sz="8" w:space="0" w:color="1A3A52"/>
          <w:insideV w:val="single" w:sz="8" w:space="0" w:color="1A3A52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jpe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