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DEF6" w14:textId="7560E5DB" w:rsidR="00E83F66" w:rsidRDefault="0011363D" w:rsidP="00E83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Titre du Rapport : Estimation des Réserves Techniques en Assurance</w:t>
      </w:r>
    </w:p>
    <w:p w14:paraId="215EECE2" w14:textId="05A4AABC" w:rsidR="00AF0D39" w:rsidRPr="0011363D" w:rsidRDefault="00AF0D39" w:rsidP="00E83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AF0D3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Auteur :</w:t>
      </w:r>
      <w:r w:rsidRPr="00AF0D3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/>
        <w:t>-Amdjed Bouzid</w:t>
      </w:r>
      <w:r w:rsidRPr="00AF0D3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/>
        <w:t>-Mohamed Fakher El Islem Haddada</w:t>
      </w:r>
      <w:r w:rsidRPr="00AF0D3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/>
        <w:t>-Mohammed Aouamri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/>
      </w:r>
      <w:r w:rsidRPr="00AF0D3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-Yahiaoui Achraf</w:t>
      </w:r>
      <w:r w:rsidRPr="00AF0D3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br/>
        <w:t xml:space="preserve">-Messioud Wassim </w:t>
      </w:r>
    </w:p>
    <w:p w14:paraId="028F5EF4" w14:textId="77777777" w:rsidR="0011363D" w:rsidRPr="0011363D" w:rsidRDefault="0011363D" w:rsidP="0011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pict w14:anchorId="6201CD0C">
          <v:rect id="_x0000_i1025" style="width:0;height:1.5pt" o:hralign="center" o:hrstd="t" o:hr="t" fillcolor="#a0a0a0" stroked="f"/>
        </w:pict>
      </w:r>
    </w:p>
    <w:p w14:paraId="513A6F83" w14:textId="77777777" w:rsidR="0011363D" w:rsidRPr="0011363D" w:rsidRDefault="0011363D" w:rsidP="00113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1. Introduction</w:t>
      </w:r>
    </w:p>
    <w:p w14:paraId="49D4C943" w14:textId="77777777" w:rsidR="0011363D" w:rsidRPr="0011363D" w:rsidRDefault="0011363D" w:rsidP="00113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Dans le secteur de l’assurance des risques industriels, l’estimation des réserves techniques est cruciale pour garantir la capacité des assureurs à indemniser les sinistres tout en maintenant leur stabilité financière. Ces réserves couvrent à la fois les sinistres déclarés mais non réglés et les sinistres tardifs, rendant leur évaluation complexe du fait de la variabilité des montants et des délais de règlement.</w:t>
      </w:r>
    </w:p>
    <w:p w14:paraId="0339E390" w14:textId="77777777" w:rsidR="0011363D" w:rsidRPr="0011363D" w:rsidRDefault="0011363D" w:rsidP="0011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pict w14:anchorId="7A243C91">
          <v:rect id="_x0000_i1026" style="width:0;height:1.5pt" o:hralign="center" o:hrstd="t" o:hr="t" fillcolor="#a0a0a0" stroked="f"/>
        </w:pict>
      </w:r>
    </w:p>
    <w:p w14:paraId="5EDBC515" w14:textId="77777777" w:rsidR="0011363D" w:rsidRPr="0011363D" w:rsidRDefault="0011363D" w:rsidP="00113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2. Contexte du Problème</w:t>
      </w:r>
    </w:p>
    <w:p w14:paraId="30249232" w14:textId="77777777" w:rsidR="0011363D" w:rsidRPr="0011363D" w:rsidRDefault="0011363D" w:rsidP="0011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Complexité de l’évaluation :</w:t>
      </w: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br/>
        <w:t>Les sinistres varient en montants et en délais, ce qui limite l’efficacité des modèles classiques comme le Run-Off Triangle.</w:t>
      </w:r>
    </w:p>
    <w:p w14:paraId="0609514C" w14:textId="77777777" w:rsidR="0011363D" w:rsidRPr="0011363D" w:rsidRDefault="0011363D" w:rsidP="0011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Limites des approches traditionnelles :</w:t>
      </w: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br/>
        <w:t>L’évolution des risques et l’augmentation du volume de données exigent des méthodes plus avancées.</w:t>
      </w:r>
    </w:p>
    <w:p w14:paraId="2E808EE0" w14:textId="77777777" w:rsidR="0011363D" w:rsidRPr="0011363D" w:rsidRDefault="0011363D" w:rsidP="0011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Objectif du projet :</w:t>
      </w: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br/>
        <w:t>Développer un modèle prédictif combinant mathématiques avancées, processus stochastiques et intelligence artificielle (IA), tout en garantissant une bonne interprétabilité et une intégration pratique pour les compagnies d’assurance.</w:t>
      </w:r>
    </w:p>
    <w:p w14:paraId="14F5FF0B" w14:textId="77777777" w:rsidR="0011363D" w:rsidRPr="0011363D" w:rsidRDefault="0011363D" w:rsidP="0011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Données utilisées :</w:t>
      </w: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br/>
        <w:t>Un échantillon de 90 229 observations couvrant une période de 10 ans (2014-2023) du marché algérien des assurances.</w:t>
      </w:r>
    </w:p>
    <w:p w14:paraId="3C461067" w14:textId="77777777" w:rsidR="0011363D" w:rsidRPr="0011363D" w:rsidRDefault="0011363D" w:rsidP="0011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pict w14:anchorId="5B348681">
          <v:rect id="_x0000_i1027" style="width:0;height:1.5pt" o:hralign="center" o:hrstd="t" o:hr="t" fillcolor="#a0a0a0" stroked="f"/>
        </w:pict>
      </w:r>
    </w:p>
    <w:p w14:paraId="66F01D3A" w14:textId="77777777" w:rsidR="0011363D" w:rsidRPr="0011363D" w:rsidRDefault="0011363D" w:rsidP="00113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3. Méthodologie Utilisée</w:t>
      </w:r>
    </w:p>
    <w:p w14:paraId="249E23CC" w14:textId="77777777" w:rsidR="0011363D" w:rsidRPr="0011363D" w:rsidRDefault="0011363D" w:rsidP="0011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Exploration et Prétraitement des Données :</w:t>
      </w:r>
    </w:p>
    <w:p w14:paraId="5AFB3291" w14:textId="3787AA8D" w:rsidR="004A615C" w:rsidRPr="004A615C" w:rsidRDefault="004A615C" w:rsidP="004A61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Analyse exploratoire pour visualiser les tendances et le Run-Off Triangle.</w:t>
      </w:r>
    </w:p>
    <w:p w14:paraId="040C5189" w14:textId="286809B9" w:rsidR="004A615C" w:rsidRPr="0011363D" w:rsidRDefault="0011363D" w:rsidP="004A61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Chargement et nettoyage des données (gestion des valeurs manquantes, etc.).</w:t>
      </w:r>
    </w:p>
    <w:p w14:paraId="1D0F1224" w14:textId="77777777" w:rsidR="0011363D" w:rsidRPr="0011363D" w:rsidRDefault="0011363D" w:rsidP="0011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Modélisation Statistique et Stochastique :</w:t>
      </w:r>
    </w:p>
    <w:p w14:paraId="6637A925" w14:textId="1ECF61CD" w:rsidR="0011363D" w:rsidRPr="004A615C" w:rsidRDefault="0011363D" w:rsidP="00754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Utilisation de</w:t>
      </w:r>
      <w:r w:rsidR="004A61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</w:t>
      </w: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 xml:space="preserve"> méthodes classiques  Chain-Ladder</w:t>
      </w:r>
      <w:r w:rsidR="00754BB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14E7AA3A" w14:textId="739D205D" w:rsidR="004A615C" w:rsidRPr="00485AF0" w:rsidRDefault="004A615C" w:rsidP="00754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Calculer la perte a base de</w:t>
      </w:r>
      <w:r w:rsidR="00485AF0">
        <w:rPr>
          <w:rFonts w:ascii="Times New Roman" w:eastAsia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années de développement.</w:t>
      </w:r>
    </w:p>
    <w:p w14:paraId="01CB815A" w14:textId="5C4CE9B3" w:rsidR="00485AF0" w:rsidRPr="00485AF0" w:rsidRDefault="00485AF0" w:rsidP="00754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Trouver l’équilibre entre la perte minimale et le nombre maximum des années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developement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prise</w:t>
      </w:r>
    </w:p>
    <w:p w14:paraId="3DD9C83C" w14:textId="77777777" w:rsidR="00485AF0" w:rsidRPr="0011363D" w:rsidRDefault="00485AF0" w:rsidP="00754B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A10A167" w14:textId="77777777" w:rsidR="0011363D" w:rsidRPr="0011363D" w:rsidRDefault="0011363D" w:rsidP="0011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lastRenderedPageBreak/>
        <w:t>Interprétabilité et Visualisation :</w:t>
      </w:r>
    </w:p>
    <w:p w14:paraId="7B0CC0B6" w14:textId="79C4FF85" w:rsidR="0011363D" w:rsidRPr="0011363D" w:rsidRDefault="0011363D" w:rsidP="001136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 xml:space="preserve">Utilisation de </w:t>
      </w:r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>bibliothech</w:t>
      </w:r>
      <w:proofErr w:type="spellEnd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>matplotlib</w:t>
      </w:r>
      <w:proofErr w:type="spellEnd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via </w:t>
      </w:r>
      <w:proofErr w:type="spellStart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>seaborn</w:t>
      </w:r>
      <w:proofErr w:type="spellEnd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 xml:space="preserve"> pour </w:t>
      </w:r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visualiser les </w:t>
      </w:r>
      <w:proofErr w:type="spellStart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>resultats</w:t>
      </w:r>
      <w:proofErr w:type="spellEnd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pouvoir  prendre la </w:t>
      </w:r>
      <w:proofErr w:type="spellStart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>desicion</w:t>
      </w:r>
      <w:proofErr w:type="spellEnd"/>
      <w:r w:rsidR="00317DB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3F14A108" w14:textId="77777777" w:rsidR="0011363D" w:rsidRPr="0011363D" w:rsidRDefault="0011363D" w:rsidP="0011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pict w14:anchorId="0918D836">
          <v:rect id="_x0000_i1028" style="width:0;height:1.5pt" o:hralign="center" o:hrstd="t" o:hr="t" fillcolor="#a0a0a0" stroked="f"/>
        </w:pict>
      </w:r>
    </w:p>
    <w:p w14:paraId="15727944" w14:textId="77777777" w:rsidR="0011363D" w:rsidRPr="0011363D" w:rsidRDefault="0011363D" w:rsidP="00113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4. Analyse et Interprétations</w:t>
      </w:r>
    </w:p>
    <w:p w14:paraId="63A2D282" w14:textId="77777777" w:rsidR="0011363D" w:rsidRPr="0011363D" w:rsidRDefault="0011363D" w:rsidP="0011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Analyse Exploratoire :</w:t>
      </w:r>
    </w:p>
    <w:p w14:paraId="7872B6E4" w14:textId="77777777" w:rsidR="0011363D" w:rsidRPr="0011363D" w:rsidRDefault="0011363D" w:rsidP="001136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Identification des tendances et des pics anormaux dans les sinistres.</w:t>
      </w:r>
    </w:p>
    <w:p w14:paraId="3C7E3F6A" w14:textId="071EC20F" w:rsidR="0011363D" w:rsidRPr="0011363D" w:rsidRDefault="0011363D" w:rsidP="001568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Observation des écarts entre la date de survenance et de règlement.</w:t>
      </w:r>
    </w:p>
    <w:p w14:paraId="525389EB" w14:textId="77777777" w:rsidR="0011363D" w:rsidRPr="0011363D" w:rsidRDefault="0011363D" w:rsidP="0011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Facteurs Clés :</w:t>
      </w:r>
    </w:p>
    <w:p w14:paraId="69DECFFD" w14:textId="77777777" w:rsidR="0011363D" w:rsidRPr="0011363D" w:rsidRDefault="0011363D" w:rsidP="001136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L’année de survenance, la branche d’assurance et les historiques de règlements influencent fortement les prévisions.</w:t>
      </w:r>
    </w:p>
    <w:p w14:paraId="23DE1206" w14:textId="77777777" w:rsidR="0011363D" w:rsidRPr="0011363D" w:rsidRDefault="0011363D" w:rsidP="0011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Robustesse et Applicabilité :</w:t>
      </w:r>
    </w:p>
    <w:p w14:paraId="1966465A" w14:textId="77777777" w:rsidR="0011363D" w:rsidRPr="0011363D" w:rsidRDefault="0011363D" w:rsidP="001136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Le modèle s’adapte aux fluctuations du marché et s’intègre facilement aux systèmes de gestion existants.</w:t>
      </w:r>
    </w:p>
    <w:p w14:paraId="03A599D4" w14:textId="77777777" w:rsidR="0011363D" w:rsidRPr="0011363D" w:rsidRDefault="0011363D" w:rsidP="00113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pict w14:anchorId="192B3ED3">
          <v:rect id="_x0000_i1029" style="width:0;height:1.5pt" o:hralign="center" o:hrstd="t" o:hr="t" fillcolor="#a0a0a0" stroked="f"/>
        </w:pict>
      </w:r>
    </w:p>
    <w:p w14:paraId="030B1729" w14:textId="77777777" w:rsidR="0011363D" w:rsidRPr="0011363D" w:rsidRDefault="0011363D" w:rsidP="00113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5. Conclusion</w:t>
      </w:r>
    </w:p>
    <w:p w14:paraId="5B843BC3" w14:textId="42077CCF" w:rsidR="0011363D" w:rsidRPr="0011363D" w:rsidRDefault="0011363D" w:rsidP="00113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1363D">
        <w:rPr>
          <w:rFonts w:ascii="Times New Roman" w:eastAsia="Times New Roman" w:hAnsi="Times New Roman" w:cs="Times New Roman"/>
          <w:sz w:val="24"/>
          <w:szCs w:val="24"/>
          <w:lang/>
        </w:rPr>
        <w:t>L’approche combinée intégrant des méthodes statistiques permet d’obtenir un modèle prédictif plus précis et interprétable. Ce modèle aide les compagnies d’assurance à mieux anticiper les réserves techniques, assurant ainsi leur stabilité financière et leur compétitivité sur le marché.</w:t>
      </w:r>
    </w:p>
    <w:p w14:paraId="2D135F65" w14:textId="77777777" w:rsidR="008E004F" w:rsidRDefault="008E004F"/>
    <w:sectPr w:rsidR="008E0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0FC6"/>
    <w:multiLevelType w:val="multilevel"/>
    <w:tmpl w:val="ADB6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E7C27"/>
    <w:multiLevelType w:val="multilevel"/>
    <w:tmpl w:val="535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000F7"/>
    <w:multiLevelType w:val="multilevel"/>
    <w:tmpl w:val="7D0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3D"/>
    <w:rsid w:val="0011363D"/>
    <w:rsid w:val="0015681A"/>
    <w:rsid w:val="00317DB6"/>
    <w:rsid w:val="00485AF0"/>
    <w:rsid w:val="004A615C"/>
    <w:rsid w:val="00754BB2"/>
    <w:rsid w:val="008E004F"/>
    <w:rsid w:val="00AF0D39"/>
    <w:rsid w:val="00E83F66"/>
    <w:rsid w:val="00F4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6388"/>
  <w15:chartTrackingRefBased/>
  <w15:docId w15:val="{70AB3F42-431A-40E5-840C-33D666B0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lev">
    <w:name w:val="Strong"/>
    <w:basedOn w:val="Policepardfaut"/>
    <w:uiPriority w:val="22"/>
    <w:qFormat/>
    <w:rsid w:val="00113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messioud</dc:creator>
  <cp:keywords/>
  <dc:description/>
  <cp:lastModifiedBy>messioud</cp:lastModifiedBy>
  <cp:revision>1</cp:revision>
  <dcterms:created xsi:type="dcterms:W3CDTF">2025-02-22T02:21:00Z</dcterms:created>
  <dcterms:modified xsi:type="dcterms:W3CDTF">2025-02-22T06:57:00Z</dcterms:modified>
</cp:coreProperties>
</file>