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SWTID-2026-3934/6ab4dd426603573ccfb5912f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Functional and Non-Functional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requirements below describe what the AI BlogNest API does today and how well it should perform.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 (FR)</w:t>
      </w:r>
      <w:r>
        <w:rPr>
          <w:rFonts w:ascii="Arial" w:cs="Arial" w:eastAsia="Arial" w:hAnsi="Arial"/>
          <w:sz w:val="22"/>
          <w:szCs w:val="22"/>
        </w:rPr>
        <w:t xml:space="preserve"> define specific behaviors, functions, or features of the system (what the system should do).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 (NFR)</w:t>
      </w:r>
      <w:r>
        <w:rPr>
          <w:rFonts w:ascii="Arial" w:cs="Arial" w:eastAsia="Arial" w:hAnsi="Arial"/>
          <w:sz w:val="22"/>
          <w:szCs w:val="22"/>
        </w:rPr>
        <w:t xml:space="preserve"> specify the criteria that judge the operation of a system, rather than specific behaviors (how the system should be).</w:t>
      </w:r>
    </w:p>
    <w:p>
      <w:pPr>
        <w:keepNext/>
        <w:spacing w:after="8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Functional Requirements (FR)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160"/>
        <w:gridCol w:w="16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 Category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(High/Medium/Low)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register with name, email and password (at least 6 characters). Passwords are hashed with bcrypt before saving. Login with email and password returns a JWT valid for 7 days. Users send it as a Bearer token, and GET /api/auth/profile returns the logged-in user’s details.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 levels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Protected routes need a valid JWT. Anyone can read blogs. Only a logged-in user can create blogs or use AI generation, and only a blog’s author can edit or delete it (others get 403). Planned: roles such as Admin, Editor, Author and Reader.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interfaces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 (through @google/generative-ai) for blog generation and summarization, and a MongoDB database (through MONGO_URI) for users and blogs.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 processing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requests over REST. Blogs are created, read, updated and deleted in MongoDB through Mongoose. Inputs are validated with express-validator and invalid requests return 422 with the errors. An AI-generated blog is saved to the database as a new blog under the logged-in author. There are no payments.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dashboards or exports yet. The API returns JSON: all blogs sorted newest first with author name and email, a single blog, and an AI summary. Analytics and engagement reports are planned.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rules, etc.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must be unique. Title, content and category are required for a blog. AI-generated posts are plain text of about 100–150 words, with the title “Guide to &lt;topic&gt;”. If no category is given, one is inferred from the topic (otherwise “Unidentified”).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to laws or regulations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specific law (such as GDPR or HIPAA) is targeted. Good practice is followed: passwords are hashed and never returned, and secrets (JWT secret, Gemini key, database URI) are kept in environment variables and not committed.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error-handling middleware returns JSON errors, CORS is enabled, requests are logged with morgan, and a health message is returned at GET /.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keepNext/>
        <w:spacing w:after="8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Non-Functional Requirements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4000"/>
        <w:gridCol w:w="27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Metric / Acceptance Criteria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&amp; Speed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endpoints (login, blog CRUD) should respond quickly. AI endpoints depend on the Gemini service and take longer.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response &lt; 2 s for non-AI endpoints; AI endpoints &lt; 10 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authentication is stateless, so several server instances can run behind a load balancer, and MongoDB can scale as data grows.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Proposed target: 100 concurrent users on one instance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&amp; Data Privacy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Passwords are hashed with bcrypt (10 salt rounds), private routes need a valid token, inputs are validated, and secrets are stored in environment variables.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plain-text passwords; missing or invalid token returns 401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 &amp; Availability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Errors are returned as JSON with a clear message instead of crashing requests. The server stops at startup if the database URI is missing or the connection fails.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Proposed target: 99% uptime once hosted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REST and JSON design, clear validation messages, and a ready Thunder Client / Postman collection make the API easy to try. There is no user interface, so accessibility standards such as WCAG do not apply yet.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endpoint has a working example request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Maintainability: MVC structure with separate routes, controllers, models, middleware and services. Portability: runs on Windows, macOS or Linux with Node.js.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feature lives in its own module</w:t>
            </w:r>
          </w:p>
        </w:tc>
      </w:tr>
    </w:tbl>
    <w:sectPr>
      <w:headerReference w:type="default" r:id="rId7"/>
      <w:pgSz w:w="12240" w:h="15840" w:orient="portrait"/>
      <w:pgMar w:top="1300" w:right="1440" w:bottom="10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428750" cy="600075"/>
                <wp:effectExtent t="0" r="0" b="0" l="0"/>
                <wp:docPr id="1" name="sb" descr="SmartBridge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952500" cy="438150"/>
                <wp:effectExtent t="0" r="0" b="0" l="0"/>
                <wp:docPr id="1" name="sw" descr="SkillWallet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2026-09-30T08:08:58.588Z</dcterms:created>
  <dcterms:modified xsi:type="dcterms:W3CDTF">2026-09-30T08:08:58.588Z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