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Tax Workflow Platform</w:t>
      </w:r>
    </w:p>
    <w:p>
      <w:pPr>
        <w:spacing w:after="240"/>
        <w:jc w:val="center"/>
      </w:pPr>
      <w:r>
        <w:rPr>
          <w:sz w:val="32"/>
          <w:szCs w:val="32"/>
        </w:rPr>
        <w:t xml:space="preserve">Phase 1 Feature Requirements Document</w:t>
      </w:r>
    </w:p>
    <w:p>
      <w:pPr>
        <w:spacing w:after="1200"/>
        <w:jc w:val="center"/>
      </w:pPr>
      <w:r>
        <w:rPr>
          <w:i/>
          <w:iCs/>
          <w:sz w:val="24"/>
          <w:szCs w:val="24"/>
        </w:rPr>
        <w:t xml:space="preserve">Prepared for Prospective Development Partners</w:t>
      </w:r>
    </w:p>
    <w:p>
      <w:pPr>
        <w:spacing w:after="120"/>
        <w:jc w:val="center"/>
      </w:pPr>
      <w:r>
        <w:rPr>
          <w:sz w:val="24"/>
          <w:szCs w:val="24"/>
        </w:rPr>
        <w:t xml:space="preserve">Sagan Financial Group</w:t>
      </w:r>
    </w:p>
    <w:p>
      <w:pPr>
        <w:jc w:val="center"/>
      </w:pPr>
      <w:r>
        <w:rPr>
          <w:i/>
          <w:iCs/>
          <w:sz w:val="22"/>
          <w:szCs w:val="22"/>
        </w:rPr>
        <w:t xml:space="preserve">Version 1.0</w:t>
      </w:r>
    </w:p>
    <w:p>
      <w:r>
        <w:br w:type="page"/>
      </w:r>
    </w:p>
    <w:p>
      <w:pPr>
        <w:pStyle w:val="Heading1"/>
      </w:pPr>
      <w:r>
        <w:t xml:space="preserve">1. Project Overview</w:t>
      </w:r>
    </w:p>
    <w:p>
      <w:pPr>
        <w:spacing w:after="120"/>
      </w:pPr>
      <w:r>
        <w:t xml:space="preserve">Sagan Financial Group (SaganFG) is a US-based accounting and tax firm building a vertical SaaS platform that will eventually be offered to other accounting firms. This document describes the Phase 1 build, which is a full tax workflow platform.</w:t>
      </w:r>
    </w:p>
    <w:p>
      <w:pPr>
        <w:spacing w:after="120"/>
      </w:pPr>
      <w:r>
        <w:t xml:space="preserve">The successful bidder for Phase 1 will have the opportunity to bid on Phase 2 and Phase 3 in separate engagements.</w:t>
      </w:r>
    </w:p>
    <w:p>
      <w:pPr>
        <w:pStyle w:val="Heading2"/>
      </w:pPr>
      <w:r>
        <w:t xml:space="preserve">1.1 Phased Roadmap</w:t>
      </w:r>
    </w:p>
    <w:p>
      <w:pPr>
        <w:pStyle w:val="ListParagraph"/>
        <w:numPr>
          <w:ilvl w:val="0"/>
          <w:numId w:val="2"/>
        </w:numPr>
        <w:spacing w:after="80"/>
      </w:pPr>
      <w:r>
        <w:rPr>
          <w:b/>
          <w:bCs/>
        </w:rPr>
        <w:t xml:space="preserve">Phase 1: </w:t>
      </w:r>
      <w:r>
        <w:t xml:space="preserve">Tax workflow platform. This document.</w:t>
      </w:r>
    </w:p>
    <w:p>
      <w:pPr>
        <w:pStyle w:val="ListParagraph"/>
        <w:numPr>
          <w:ilvl w:val="0"/>
          <w:numId w:val="2"/>
        </w:numPr>
        <w:spacing w:after="80"/>
      </w:pPr>
      <w:r>
        <w:rPr>
          <w:b/>
          <w:bCs/>
        </w:rPr>
        <w:t xml:space="preserve">Phase 2: </w:t>
      </w:r>
      <w:r>
        <w:t xml:space="preserve">Tax intake and preparation capabilities that produce Drake Tax backup files for direct import into Drake.</w:t>
      </w:r>
    </w:p>
    <w:p>
      <w:pPr>
        <w:pStyle w:val="ListParagraph"/>
        <w:numPr>
          <w:ilvl w:val="0"/>
          <w:numId w:val="2"/>
        </w:numPr>
        <w:spacing w:after="80"/>
      </w:pPr>
      <w:r>
        <w:rPr>
          <w:b/>
          <w:bCs/>
        </w:rPr>
        <w:t xml:space="preserve">Phase 3: </w:t>
      </w:r>
      <w:r>
        <w:t xml:space="preserve">AI-powered firm intelligence layer connecting CRM, email, phone, and document storage.</w:t>
      </w:r>
    </w:p>
    <w:p>
      <w:pPr>
        <w:pStyle w:val="Heading2"/>
      </w:pPr>
      <w:r>
        <w:t xml:space="preserve">1.2 Reference Product</w:t>
      </w:r>
    </w:p>
    <w:p>
      <w:pPr>
        <w:spacing w:after="120"/>
      </w:pPr>
      <w:r>
        <w:t xml:space="preserve">Phase 1 must replicate the core functionality of gettruss.io. Bidders are required to review gettruss.io thoroughly before bidding. Where this document is unclear, Truss behavior is the reference.</w:t>
      </w:r>
    </w:p>
    <w:p>
      <w:pPr>
        <w:pStyle w:val="Heading2"/>
      </w:pPr>
      <w:r>
        <w:t xml:space="preserve">1.3 Design Principles</w:t>
      </w:r>
    </w:p>
    <w:p>
      <w:pPr>
        <w:pStyle w:val="ListParagraph"/>
        <w:numPr>
          <w:ilvl w:val="0"/>
          <w:numId w:val="2"/>
        </w:numPr>
        <w:spacing w:after="80"/>
      </w:pPr>
      <w:r>
        <w:t xml:space="preserve">Multi-tenant from day one, designed to scale to thousands of firm tenants.</w:t>
      </w:r>
    </w:p>
    <w:p>
      <w:pPr>
        <w:pStyle w:val="ListParagraph"/>
        <w:numPr>
          <w:ilvl w:val="0"/>
          <w:numId w:val="2"/>
        </w:numPr>
        <w:spacing w:after="80"/>
      </w:pPr>
      <w:r>
        <w:t xml:space="preserve">API-first architecture so Phase 2 and Phase 3 can extend without rework.</w:t>
      </w:r>
    </w:p>
    <w:p>
      <w:pPr>
        <w:pStyle w:val="ListParagraph"/>
        <w:numPr>
          <w:ilvl w:val="0"/>
          <w:numId w:val="2"/>
        </w:numPr>
        <w:spacing w:after="80"/>
      </w:pPr>
      <w:r>
        <w:t xml:space="preserve">US data residency. All client data stored on US infrastructure.</w:t>
      </w:r>
    </w:p>
    <w:p>
      <w:pPr>
        <w:pStyle w:val="ListParagraph"/>
        <w:numPr>
          <w:ilvl w:val="0"/>
          <w:numId w:val="2"/>
        </w:numPr>
        <w:spacing w:after="80"/>
      </w:pPr>
      <w:r>
        <w:t xml:space="preserve">Security and compliance are non-negotiable. See Section 9.</w:t>
      </w:r>
    </w:p>
    <w:p>
      <w:pPr>
        <w:pStyle w:val="ListParagraph"/>
        <w:numPr>
          <w:ilvl w:val="0"/>
          <w:numId w:val="2"/>
        </w:numPr>
        <w:spacing w:after="80"/>
      </w:pPr>
      <w:r>
        <w:t xml:space="preserve">Mobile and desktop accessible.</w:t>
      </w:r>
    </w:p>
    <w:p>
      <w:pPr>
        <w:pStyle w:val="ListParagraph"/>
        <w:numPr>
          <w:ilvl w:val="0"/>
          <w:numId w:val="2"/>
        </w:numPr>
        <w:spacing w:after="80"/>
      </w:pPr>
      <w:r>
        <w:t xml:space="preserve">Clean, modern UI suitable for white-label use later.</w:t>
      </w:r>
    </w:p>
    <w:p>
      <w:r>
        <w:br w:type="page"/>
      </w:r>
    </w:p>
    <w:p>
      <w:pPr>
        <w:pStyle w:val="Heading1"/>
      </w:pPr>
      <w:r>
        <w:t xml:space="preserve">2. User Roles and Permissions</w:t>
      </w:r>
    </w:p>
    <w:p>
      <w:pPr>
        <w:spacing w:after="120"/>
      </w:pPr>
      <w:r>
        <w:t xml:space="preserve">The platform must support the following user types with role-based access control. Permissions should be configurable by firm admins.</w:t>
      </w:r>
    </w:p>
    <w:p>
      <w:pPr>
        <w:pStyle w:val="Heading2"/>
      </w:pPr>
      <w:r>
        <w:t xml:space="preserve">2.1 Firm Users</w:t>
      </w:r>
    </w:p>
    <w:p>
      <w:pPr>
        <w:pStyle w:val="ListParagraph"/>
        <w:numPr>
          <w:ilvl w:val="0"/>
          <w:numId w:val="2"/>
        </w:numPr>
        <w:spacing w:after="80"/>
      </w:pPr>
      <w:r>
        <w:rPr>
          <w:b/>
          <w:bCs/>
        </w:rPr>
        <w:t xml:space="preserve">Firm Owner / Admin: </w:t>
      </w:r>
      <w:r>
        <w:t xml:space="preserve">Full access. Can manage billing, users, firm settings, integrations, branding, and all client projects.</w:t>
      </w:r>
    </w:p>
    <w:p>
      <w:pPr>
        <w:pStyle w:val="ListParagraph"/>
        <w:numPr>
          <w:ilvl w:val="0"/>
          <w:numId w:val="2"/>
        </w:numPr>
        <w:spacing w:after="80"/>
      </w:pPr>
      <w:r>
        <w:rPr>
          <w:b/>
          <w:bCs/>
        </w:rPr>
        <w:t xml:space="preserve">Firm Manager: </w:t>
      </w:r>
      <w:r>
        <w:t xml:space="preserve">Can manage projects, assign tasks, view all clients, and run firm reports. Cannot modify billing or top-level firm settings.</w:t>
      </w:r>
    </w:p>
    <w:p>
      <w:pPr>
        <w:pStyle w:val="ListParagraph"/>
        <w:numPr>
          <w:ilvl w:val="0"/>
          <w:numId w:val="2"/>
        </w:numPr>
        <w:spacing w:after="80"/>
      </w:pPr>
      <w:r>
        <w:rPr>
          <w:b/>
          <w:bCs/>
        </w:rPr>
        <w:t xml:space="preserve">Preparer: </w:t>
      </w:r>
      <w:r>
        <w:t xml:space="preserve">Can be assigned to projects, work in the four workflow stages, communicate with clients, and complete tasks. Limited visibility to projects they are not assigned to.</w:t>
      </w:r>
    </w:p>
    <w:p>
      <w:pPr>
        <w:pStyle w:val="ListParagraph"/>
        <w:numPr>
          <w:ilvl w:val="0"/>
          <w:numId w:val="2"/>
        </w:numPr>
        <w:spacing w:after="80"/>
      </w:pPr>
      <w:r>
        <w:rPr>
          <w:b/>
          <w:bCs/>
        </w:rPr>
        <w:t xml:space="preserve">Reviewer: </w:t>
      </w:r>
      <w:r>
        <w:t xml:space="preserve">Can review and approve work in the Workpaper and Delivery stages. Can add tick marks, stamps, and notes.</w:t>
      </w:r>
    </w:p>
    <w:p>
      <w:pPr>
        <w:pStyle w:val="ListParagraph"/>
        <w:numPr>
          <w:ilvl w:val="0"/>
          <w:numId w:val="2"/>
        </w:numPr>
        <w:spacing w:after="80"/>
      </w:pPr>
      <w:r>
        <w:rPr>
          <w:b/>
          <w:bCs/>
        </w:rPr>
        <w:t xml:space="preserve">Administrative Staff: </w:t>
      </w:r>
      <w:r>
        <w:t xml:space="preserve">Can manage intake, document collection, and client communication. Limited access to preparation and review.</w:t>
      </w:r>
    </w:p>
    <w:p>
      <w:pPr>
        <w:pStyle w:val="ListParagraph"/>
        <w:numPr>
          <w:ilvl w:val="0"/>
          <w:numId w:val="2"/>
        </w:numPr>
        <w:spacing w:after="80"/>
      </w:pPr>
      <w:r>
        <w:rPr>
          <w:b/>
          <w:bCs/>
        </w:rPr>
        <w:t xml:space="preserve">Read-Only Auditor: </w:t>
      </w:r>
      <w:r>
        <w:t xml:space="preserve">Can view all activity logs and project data but cannot modify anything. For internal QA or external auditors.</w:t>
      </w:r>
    </w:p>
    <w:p>
      <w:pPr>
        <w:pStyle w:val="Heading2"/>
      </w:pPr>
      <w:r>
        <w:t xml:space="preserve">2.2 Client Users</w:t>
      </w:r>
    </w:p>
    <w:p>
      <w:pPr>
        <w:pStyle w:val="ListParagraph"/>
        <w:numPr>
          <w:ilvl w:val="0"/>
          <w:numId w:val="2"/>
        </w:numPr>
        <w:spacing w:after="80"/>
      </w:pPr>
      <w:r>
        <w:rPr>
          <w:b/>
          <w:bCs/>
        </w:rPr>
        <w:t xml:space="preserve">Primary Client: </w:t>
      </w:r>
      <w:r>
        <w:t xml:space="preserve">The taxpayer or business owner. Receives zero-login magic links by default but can optionally create a portal account.</w:t>
      </w:r>
    </w:p>
    <w:p>
      <w:pPr>
        <w:pStyle w:val="ListParagraph"/>
        <w:numPr>
          <w:ilvl w:val="0"/>
          <w:numId w:val="2"/>
        </w:numPr>
        <w:spacing w:after="80"/>
      </w:pPr>
      <w:r>
        <w:rPr>
          <w:b/>
          <w:bCs/>
        </w:rPr>
        <w:t xml:space="preserve">Authorized Representative: </w:t>
      </w:r>
      <w:r>
        <w:t xml:space="preserve">Spouse, partner, bookkeeper, or other authorized person who may upload documents or sign on behalf of the client.</w:t>
      </w:r>
    </w:p>
    <w:p>
      <w:pPr>
        <w:pStyle w:val="Heading2"/>
      </w:pPr>
      <w:r>
        <w:t xml:space="preserve">2.3 Access Principles</w:t>
      </w:r>
    </w:p>
    <w:p>
      <w:pPr>
        <w:pStyle w:val="ListParagraph"/>
        <w:numPr>
          <w:ilvl w:val="0"/>
          <w:numId w:val="2"/>
        </w:numPr>
        <w:spacing w:after="80"/>
      </w:pPr>
      <w:r>
        <w:t xml:space="preserve">Principle of least privilege by default.</w:t>
      </w:r>
    </w:p>
    <w:p>
      <w:pPr>
        <w:pStyle w:val="ListParagraph"/>
        <w:numPr>
          <w:ilvl w:val="0"/>
          <w:numId w:val="2"/>
        </w:numPr>
        <w:spacing w:after="80"/>
      </w:pPr>
      <w:r>
        <w:t xml:space="preserve">All access is logged and auditable.</w:t>
      </w:r>
    </w:p>
    <w:p>
      <w:pPr>
        <w:pStyle w:val="ListParagraph"/>
        <w:numPr>
          <w:ilvl w:val="0"/>
          <w:numId w:val="2"/>
        </w:numPr>
        <w:spacing w:after="80"/>
      </w:pPr>
      <w:r>
        <w:t xml:space="preserve">Clients see only their own data, never other clients.</w:t>
      </w:r>
    </w:p>
    <w:p>
      <w:pPr>
        <w:pStyle w:val="ListParagraph"/>
        <w:numPr>
          <w:ilvl w:val="0"/>
          <w:numId w:val="2"/>
        </w:numPr>
        <w:spacing w:after="80"/>
      </w:pPr>
      <w:r>
        <w:t xml:space="preserve">Multi-factor authentication required for all firm users.</w:t>
      </w:r>
    </w:p>
    <w:p>
      <w:pPr>
        <w:pStyle w:val="ListParagraph"/>
        <w:numPr>
          <w:ilvl w:val="0"/>
          <w:numId w:val="2"/>
        </w:numPr>
        <w:spacing w:after="80"/>
      </w:pPr>
      <w:r>
        <w:t xml:space="preserve">Session timeouts and automatic logoff for inactive sessions.</w:t>
      </w:r>
    </w:p>
    <w:p>
      <w:r>
        <w:br w:type="page"/>
      </w:r>
    </w:p>
    <w:p>
      <w:pPr>
        <w:pStyle w:val="Heading1"/>
      </w:pPr>
      <w:r>
        <w:t xml:space="preserve">3. Core Workflow Architecture</w:t>
      </w:r>
    </w:p>
    <w:p>
      <w:pPr>
        <w:spacing w:after="120"/>
      </w:pPr>
      <w:r>
        <w:t xml:space="preserve">The platform centers on a four-stage tax workflow. All four stages must be visible and navigable from a single dashboard.</w:t>
      </w:r>
    </w:p>
    <w:p>
      <w:pPr>
        <w:pStyle w:val="Heading2"/>
      </w:pPr>
      <w:r>
        <w:t xml:space="preserve">3.1 Four-Stage Workflow</w:t>
      </w:r>
    </w:p>
    <w:p>
      <w:pPr>
        <w:pStyle w:val="ListParagraph"/>
        <w:numPr>
          <w:ilvl w:val="0"/>
          <w:numId w:val="2"/>
        </w:numPr>
        <w:spacing w:after="80"/>
      </w:pPr>
      <w:r>
        <w:rPr>
          <w:b/>
          <w:bCs/>
        </w:rPr>
        <w:t xml:space="preserve">Stage 1: Intake: </w:t>
      </w:r>
      <w:r>
        <w:t xml:space="preserve">Document collection, client engagement, intake checklists, engagement letters.</w:t>
      </w:r>
    </w:p>
    <w:p>
      <w:pPr>
        <w:pStyle w:val="ListParagraph"/>
        <w:numPr>
          <w:ilvl w:val="0"/>
          <w:numId w:val="2"/>
        </w:numPr>
        <w:spacing w:after="80"/>
      </w:pPr>
      <w:r>
        <w:rPr>
          <w:b/>
          <w:bCs/>
        </w:rPr>
        <w:t xml:space="preserve">Stage 2: Workpaper: </w:t>
      </w:r>
      <w:r>
        <w:t xml:space="preserve">Document organization, workpaper assembly, review, tick-and-tie.</w:t>
      </w:r>
    </w:p>
    <w:p>
      <w:pPr>
        <w:pStyle w:val="ListParagraph"/>
        <w:numPr>
          <w:ilvl w:val="0"/>
          <w:numId w:val="2"/>
        </w:numPr>
        <w:spacing w:after="80"/>
      </w:pPr>
      <w:r>
        <w:rPr>
          <w:b/>
          <w:bCs/>
        </w:rPr>
        <w:t xml:space="preserve">Stage 3: Prep: </w:t>
      </w:r>
      <w:r>
        <w:t xml:space="preserve">Return preparation, routing to AI or human preparers (Phase 2 detail).</w:t>
      </w:r>
    </w:p>
    <w:p>
      <w:pPr>
        <w:pStyle w:val="ListParagraph"/>
        <w:numPr>
          <w:ilvl w:val="0"/>
          <w:numId w:val="2"/>
        </w:numPr>
        <w:spacing w:after="80"/>
      </w:pPr>
      <w:r>
        <w:rPr>
          <w:b/>
          <w:bCs/>
        </w:rPr>
        <w:t xml:space="preserve">Stage 4: Delivery: </w:t>
      </w:r>
      <w:r>
        <w:t xml:space="preserve">Final return assembly, e-signature, payment, K-1 distribution.</w:t>
      </w:r>
    </w:p>
    <w:p>
      <w:pPr>
        <w:pStyle w:val="Heading2"/>
      </w:pPr>
      <w:r>
        <w:t xml:space="preserve">3.2 Master Dashboard Requirements</w:t>
      </w:r>
    </w:p>
    <w:p>
      <w:pPr>
        <w:pStyle w:val="ListParagraph"/>
        <w:numPr>
          <w:ilvl w:val="0"/>
          <w:numId w:val="2"/>
        </w:numPr>
        <w:spacing w:after="80"/>
      </w:pPr>
      <w:r>
        <w:t xml:space="preserve">Single-view firm dashboard showing all active projects across all four stages.</w:t>
      </w:r>
    </w:p>
    <w:p>
      <w:pPr>
        <w:pStyle w:val="ListParagraph"/>
        <w:numPr>
          <w:ilvl w:val="0"/>
          <w:numId w:val="2"/>
        </w:numPr>
        <w:spacing w:after="80"/>
      </w:pPr>
      <w:r>
        <w:t xml:space="preserve">Filterable by stage, preparer, reviewer, due date, client type, project status, tags.</w:t>
      </w:r>
    </w:p>
    <w:p>
      <w:pPr>
        <w:pStyle w:val="ListParagraph"/>
        <w:numPr>
          <w:ilvl w:val="0"/>
          <w:numId w:val="2"/>
        </w:numPr>
        <w:spacing w:after="80"/>
      </w:pPr>
      <w:r>
        <w:t xml:space="preserve">Color-coded status indicators showing which projects are stalled or overdue.</w:t>
      </w:r>
    </w:p>
    <w:p>
      <w:pPr>
        <w:pStyle w:val="ListParagraph"/>
        <w:numPr>
          <w:ilvl w:val="0"/>
          <w:numId w:val="2"/>
        </w:numPr>
        <w:spacing w:after="80"/>
      </w:pPr>
      <w:r>
        <w:t xml:space="preserve">Quick-action shortcuts to common tasks (request docs, send for signature, mark complete).</w:t>
      </w:r>
    </w:p>
    <w:p>
      <w:pPr>
        <w:pStyle w:val="ListParagraph"/>
        <w:numPr>
          <w:ilvl w:val="0"/>
          <w:numId w:val="2"/>
        </w:numPr>
        <w:spacing w:after="80"/>
      </w:pPr>
      <w:r>
        <w:t xml:space="preserve">Notifications inbox aggregating uploads, tasks, comments, signatures, and invoices.</w:t>
      </w:r>
    </w:p>
    <w:p>
      <w:pPr>
        <w:pStyle w:val="ListParagraph"/>
        <w:numPr>
          <w:ilvl w:val="0"/>
          <w:numId w:val="2"/>
        </w:numPr>
        <w:spacing w:after="80"/>
      </w:pPr>
      <w:r>
        <w:t xml:space="preserve">Personal dashboard view filtered to the logged-in users assigned work.</w:t>
      </w:r>
    </w:p>
    <w:p>
      <w:r>
        <w:br w:type="page"/>
      </w:r>
    </w:p>
    <w:p>
      <w:pPr>
        <w:pStyle w:val="Heading1"/>
      </w:pPr>
      <w:r>
        <w:t xml:space="preserve">4. Intake Module</w:t>
      </w:r>
    </w:p>
    <w:p>
      <w:pPr>
        <w:spacing w:after="120"/>
      </w:pPr>
      <w:r>
        <w:t xml:space="preserve">The intake module handles all client-facing data collection. The guiding principle is to minimize client friction.</w:t>
      </w:r>
    </w:p>
    <w:p>
      <w:pPr>
        <w:pStyle w:val="Heading2"/>
      </w:pPr>
      <w:r>
        <w:t xml:space="preserve">4.1 Zero-Login Client Links</w:t>
      </w:r>
    </w:p>
    <w:p>
      <w:pPr>
        <w:pStyle w:val="ListParagraph"/>
        <w:numPr>
          <w:ilvl w:val="0"/>
          <w:numId w:val="2"/>
        </w:numPr>
        <w:spacing w:after="80"/>
      </w:pPr>
      <w:r>
        <w:t xml:space="preserve">Each project generates a unique magic link for the client.</w:t>
      </w:r>
    </w:p>
    <w:p>
      <w:pPr>
        <w:pStyle w:val="ListParagraph"/>
        <w:numPr>
          <w:ilvl w:val="0"/>
          <w:numId w:val="2"/>
        </w:numPr>
        <w:spacing w:after="80"/>
      </w:pPr>
      <w:r>
        <w:t xml:space="preserve">Clients access their intake portal by clicking the link in an email, no account creation, no password.</w:t>
      </w:r>
    </w:p>
    <w:p>
      <w:pPr>
        <w:pStyle w:val="ListParagraph"/>
        <w:numPr>
          <w:ilvl w:val="0"/>
          <w:numId w:val="2"/>
        </w:numPr>
        <w:spacing w:after="80"/>
      </w:pPr>
      <w:r>
        <w:t xml:space="preserve">Links expire and can be revoked.</w:t>
      </w:r>
    </w:p>
    <w:p>
      <w:pPr>
        <w:pStyle w:val="ListParagraph"/>
        <w:numPr>
          <w:ilvl w:val="0"/>
          <w:numId w:val="2"/>
        </w:numPr>
        <w:spacing w:after="80"/>
      </w:pPr>
      <w:r>
        <w:t xml:space="preserve">Optional client account creation for clients who want a persistent login.</w:t>
      </w:r>
    </w:p>
    <w:p>
      <w:pPr>
        <w:pStyle w:val="ListParagraph"/>
        <w:numPr>
          <w:ilvl w:val="0"/>
          <w:numId w:val="2"/>
        </w:numPr>
        <w:spacing w:after="80"/>
      </w:pPr>
      <w:r>
        <w:t xml:space="preserve">Links must work on desktop and mobile browsers.</w:t>
      </w:r>
    </w:p>
    <w:p>
      <w:pPr>
        <w:pStyle w:val="Heading2"/>
      </w:pPr>
      <w:r>
        <w:t xml:space="preserve">4.2 AI-Powered Intake Checklists</w:t>
      </w:r>
    </w:p>
    <w:p>
      <w:pPr>
        <w:spacing w:after="120"/>
      </w:pPr>
      <w:r>
        <w:t xml:space="preserve">Acceptance criteria: The system must generate a client-specific checklist for every new project, derived from the prior-year tax return where available.</w:t>
      </w:r>
    </w:p>
    <w:p>
      <w:pPr>
        <w:pStyle w:val="ListParagraph"/>
        <w:numPr>
          <w:ilvl w:val="0"/>
          <w:numId w:val="2"/>
        </w:numPr>
        <w:spacing w:after="80"/>
      </w:pPr>
      <w:r>
        <w:t xml:space="preserve">Parse prior-year tax returns (Drake backup file or PDF) to identify income sources, deductions, dependents, and other items.</w:t>
      </w:r>
    </w:p>
    <w:p>
      <w:pPr>
        <w:pStyle w:val="ListParagraph"/>
        <w:numPr>
          <w:ilvl w:val="0"/>
          <w:numId w:val="2"/>
        </w:numPr>
        <w:spacing w:after="80"/>
      </w:pPr>
      <w:r>
        <w:t xml:space="preserve">Generate a checklist of required documents (W-2s from listed employers, 1099s from listed payers, K-1s from listed entities, etc.).</w:t>
      </w:r>
    </w:p>
    <w:p>
      <w:pPr>
        <w:pStyle w:val="ListParagraph"/>
        <w:numPr>
          <w:ilvl w:val="0"/>
          <w:numId w:val="2"/>
        </w:numPr>
        <w:spacing w:after="80"/>
      </w:pPr>
      <w:r>
        <w:t xml:space="preserve">Mark items as "received," "missing," or "not applicable" with one click.</w:t>
      </w:r>
    </w:p>
    <w:p>
      <w:pPr>
        <w:pStyle w:val="ListParagraph"/>
        <w:numPr>
          <w:ilvl w:val="0"/>
          <w:numId w:val="2"/>
        </w:numPr>
        <w:spacing w:after="80"/>
      </w:pPr>
      <w:r>
        <w:t xml:space="preserve">Add custom checklist items for situations not captured by prior year (new property, marriage, business change).</w:t>
      </w:r>
    </w:p>
    <w:p>
      <w:pPr>
        <w:pStyle w:val="ListParagraph"/>
        <w:numPr>
          <w:ilvl w:val="0"/>
          <w:numId w:val="2"/>
        </w:numPr>
        <w:spacing w:after="80"/>
      </w:pPr>
      <w:r>
        <w:t xml:space="preserve">Save checklist templates by client type (individual, S-Corp, partnership, etc.).</w:t>
      </w:r>
    </w:p>
    <w:p>
      <w:pPr>
        <w:pStyle w:val="Heading2"/>
      </w:pPr>
      <w:r>
        <w:t xml:space="preserve">4.3 Engagement Letters</w:t>
      </w:r>
    </w:p>
    <w:p>
      <w:pPr>
        <w:pStyle w:val="ListParagraph"/>
        <w:numPr>
          <w:ilvl w:val="0"/>
          <w:numId w:val="2"/>
        </w:numPr>
        <w:spacing w:after="80"/>
      </w:pPr>
      <w:r>
        <w:t xml:space="preserve">Template engagement letters with merge fields for client name, entity name, services, fees, year, etc.</w:t>
      </w:r>
    </w:p>
    <w:p>
      <w:pPr>
        <w:pStyle w:val="ListParagraph"/>
        <w:numPr>
          <w:ilvl w:val="0"/>
          <w:numId w:val="2"/>
        </w:numPr>
        <w:spacing w:after="80"/>
      </w:pPr>
      <w:r>
        <w:t xml:space="preserve">Bulk send to multiple clients at once.</w:t>
      </w:r>
    </w:p>
    <w:p>
      <w:pPr>
        <w:pStyle w:val="ListParagraph"/>
        <w:numPr>
          <w:ilvl w:val="0"/>
          <w:numId w:val="2"/>
        </w:numPr>
        <w:spacing w:after="80"/>
      </w:pPr>
      <w:r>
        <w:t xml:space="preserve">Built-in e-signature flow (see Section 8).</w:t>
      </w:r>
    </w:p>
    <w:p>
      <w:pPr>
        <w:pStyle w:val="ListParagraph"/>
        <w:numPr>
          <w:ilvl w:val="0"/>
          <w:numId w:val="2"/>
        </w:numPr>
        <w:spacing w:after="80"/>
      </w:pPr>
      <w:r>
        <w:t xml:space="preserve">Track signature status across all engagement letters in one view.</w:t>
      </w:r>
    </w:p>
    <w:p>
      <w:pPr>
        <w:pStyle w:val="ListParagraph"/>
        <w:numPr>
          <w:ilvl w:val="0"/>
          <w:numId w:val="2"/>
        </w:numPr>
        <w:spacing w:after="80"/>
      </w:pPr>
      <w:r>
        <w:t xml:space="preserve">Automatic reminders to unsigned clients on a configurable cadence.</w:t>
      </w:r>
    </w:p>
    <w:p>
      <w:pPr>
        <w:pStyle w:val="ListParagraph"/>
        <w:numPr>
          <w:ilvl w:val="0"/>
          <w:numId w:val="2"/>
        </w:numPr>
        <w:spacing w:after="80"/>
      </w:pPr>
      <w:r>
        <w:t xml:space="preserve">Multiple template versions for different engagement types.</w:t>
      </w:r>
    </w:p>
    <w:p>
      <w:pPr>
        <w:pStyle w:val="Heading2"/>
      </w:pPr>
      <w:r>
        <w:t xml:space="preserve">4.4 Custom Forms</w:t>
      </w:r>
    </w:p>
    <w:p>
      <w:pPr>
        <w:pStyle w:val="ListParagraph"/>
        <w:numPr>
          <w:ilvl w:val="0"/>
          <w:numId w:val="2"/>
        </w:numPr>
        <w:spacing w:after="80"/>
      </w:pPr>
      <w:r>
        <w:t xml:space="preserve">Drag-and-drop form builder for firm-specific intake questionnaires.</w:t>
      </w:r>
    </w:p>
    <w:p>
      <w:pPr>
        <w:pStyle w:val="ListParagraph"/>
        <w:numPr>
          <w:ilvl w:val="0"/>
          <w:numId w:val="2"/>
        </w:numPr>
        <w:spacing w:after="80"/>
      </w:pPr>
      <w:r>
        <w:t xml:space="preserve">Conditional logic: answers drive downstream workflow (if "rental property = yes" then add rental property task to project).</w:t>
      </w:r>
    </w:p>
    <w:p>
      <w:pPr>
        <w:pStyle w:val="ListParagraph"/>
        <w:numPr>
          <w:ilvl w:val="0"/>
          <w:numId w:val="2"/>
        </w:numPr>
        <w:spacing w:after="80"/>
      </w:pPr>
      <w:r>
        <w:t xml:space="preserve">Form responses saved to client record and viewable in workpaper.</w:t>
      </w:r>
    </w:p>
    <w:p>
      <w:pPr>
        <w:pStyle w:val="ListParagraph"/>
        <w:numPr>
          <w:ilvl w:val="0"/>
          <w:numId w:val="2"/>
        </w:numPr>
        <w:spacing w:after="80"/>
      </w:pPr>
      <w:r>
        <w:t xml:space="preserve">Form library with default templates per return type.</w:t>
      </w:r>
    </w:p>
    <w:p>
      <w:r>
        <w:br w:type="page"/>
      </w:r>
    </w:p>
    <w:p>
      <w:pPr>
        <w:pStyle w:val="Heading1"/>
      </w:pPr>
      <w:r>
        <w:t xml:space="preserve">5. Document Handling and Processing</w:t>
      </w:r>
    </w:p>
    <w:p>
      <w:pPr>
        <w:spacing w:after="120"/>
      </w:pPr>
      <w:r>
        <w:t xml:space="preserve">Document handling is the highest-value feature of the platform. Clients dump unorganized documents and the system makes them usable. The AI processing here must be reliable and fast.</w:t>
      </w:r>
    </w:p>
    <w:p>
      <w:pPr>
        <w:pStyle w:val="Heading2"/>
      </w:pPr>
      <w:r>
        <w:t xml:space="preserve">5.1 Bulk Upload</w:t>
      </w:r>
    </w:p>
    <w:p>
      <w:pPr>
        <w:pStyle w:val="ListParagraph"/>
        <w:numPr>
          <w:ilvl w:val="0"/>
          <w:numId w:val="2"/>
        </w:numPr>
        <w:spacing w:after="80"/>
      </w:pPr>
      <w:r>
        <w:t xml:space="preserve">Clients can drag and drop dozens of files at once.</w:t>
      </w:r>
    </w:p>
    <w:p>
      <w:pPr>
        <w:pStyle w:val="ListParagraph"/>
        <w:numPr>
          <w:ilvl w:val="0"/>
          <w:numId w:val="2"/>
        </w:numPr>
        <w:spacing w:after="80"/>
      </w:pPr>
      <w:r>
        <w:t xml:space="preserve">Accept any common format: PDF, JPG, JPEG, PNG, HEIC, GIF, TIFF.</w:t>
      </w:r>
    </w:p>
    <w:p>
      <w:pPr>
        <w:pStyle w:val="ListParagraph"/>
        <w:numPr>
          <w:ilvl w:val="0"/>
          <w:numId w:val="2"/>
        </w:numPr>
        <w:spacing w:after="80"/>
      </w:pPr>
      <w:r>
        <w:t xml:space="preserve">Email-to-upload: dedicated forwarding address per project that accepts attachments.</w:t>
      </w:r>
    </w:p>
    <w:p>
      <w:pPr>
        <w:pStyle w:val="ListParagraph"/>
        <w:numPr>
          <w:ilvl w:val="0"/>
          <w:numId w:val="2"/>
        </w:numPr>
        <w:spacing w:after="80"/>
      </w:pPr>
      <w:r>
        <w:t xml:space="preserve">Mobile scanner app integration (see Section 11).</w:t>
      </w:r>
    </w:p>
    <w:p>
      <w:pPr>
        <w:pStyle w:val="ListParagraph"/>
        <w:numPr>
          <w:ilvl w:val="0"/>
          <w:numId w:val="2"/>
        </w:numPr>
        <w:spacing w:after="80"/>
      </w:pPr>
      <w:r>
        <w:t xml:space="preserve">Upload progress visible to client and firm.</w:t>
      </w:r>
    </w:p>
    <w:p>
      <w:pPr>
        <w:pStyle w:val="ListParagraph"/>
        <w:numPr>
          <w:ilvl w:val="0"/>
          <w:numId w:val="2"/>
        </w:numPr>
        <w:spacing w:after="80"/>
      </w:pPr>
      <w:r>
        <w:t xml:space="preserve">Resume interrupted uploads.</w:t>
      </w:r>
    </w:p>
    <w:p>
      <w:pPr>
        <w:pStyle w:val="Heading2"/>
      </w:pPr>
      <w:r>
        <w:t xml:space="preserve">5.2 Automatic PDF Conversion</w:t>
      </w:r>
    </w:p>
    <w:p>
      <w:pPr>
        <w:pStyle w:val="ListParagraph"/>
        <w:numPr>
          <w:ilvl w:val="0"/>
          <w:numId w:val="2"/>
        </w:numPr>
        <w:spacing w:after="80"/>
      </w:pPr>
      <w:r>
        <w:t xml:space="preserve">Any non-PDF upload is automatically converted to PDF.</w:t>
      </w:r>
    </w:p>
    <w:p>
      <w:pPr>
        <w:pStyle w:val="ListParagraph"/>
        <w:numPr>
          <w:ilvl w:val="0"/>
          <w:numId w:val="2"/>
        </w:numPr>
        <w:spacing w:after="80"/>
      </w:pPr>
      <w:r>
        <w:t xml:space="preserve">Original file is preserved alongside the PDF for reference.</w:t>
      </w:r>
    </w:p>
    <w:p>
      <w:pPr>
        <w:pStyle w:val="ListParagraph"/>
        <w:numPr>
          <w:ilvl w:val="0"/>
          <w:numId w:val="2"/>
        </w:numPr>
        <w:spacing w:after="80"/>
      </w:pPr>
      <w:r>
        <w:t xml:space="preserve">HEIC and other Apple formats must be supported (clients photograph documents on iPhones).</w:t>
      </w:r>
    </w:p>
    <w:p>
      <w:pPr>
        <w:pStyle w:val="Heading2"/>
      </w:pPr>
      <w:r>
        <w:t xml:space="preserve">5.3 Auto-Rotation</w:t>
      </w:r>
    </w:p>
    <w:p>
      <w:pPr>
        <w:pStyle w:val="ListParagraph"/>
        <w:numPr>
          <w:ilvl w:val="0"/>
          <w:numId w:val="2"/>
        </w:numPr>
        <w:spacing w:after="80"/>
      </w:pPr>
      <w:r>
        <w:t xml:space="preserve">System detects document orientation and rotates to upright reading position.</w:t>
      </w:r>
    </w:p>
    <w:p>
      <w:pPr>
        <w:pStyle w:val="ListParagraph"/>
        <w:numPr>
          <w:ilvl w:val="0"/>
          <w:numId w:val="2"/>
        </w:numPr>
        <w:spacing w:after="80"/>
      </w:pPr>
      <w:r>
        <w:t xml:space="preserve">Works on photographs, scans, and faxed documents.</w:t>
      </w:r>
    </w:p>
    <w:p>
      <w:pPr>
        <w:pStyle w:val="ListParagraph"/>
        <w:numPr>
          <w:ilvl w:val="0"/>
          <w:numId w:val="2"/>
        </w:numPr>
        <w:spacing w:after="80"/>
      </w:pPr>
      <w:r>
        <w:t xml:space="preserve">Manual override available if AI gets it wrong.</w:t>
      </w:r>
    </w:p>
    <w:p>
      <w:pPr>
        <w:pStyle w:val="Heading2"/>
      </w:pPr>
      <w:r>
        <w:t xml:space="preserve">5.4 Smart Rename (AI-Driven)</w:t>
      </w:r>
    </w:p>
    <w:p>
      <w:pPr>
        <w:spacing w:after="120"/>
      </w:pPr>
      <w:r>
        <w:t xml:space="preserve">Acceptance criteria: After upload, files are automatically renamed based on document content, not the filename the client used.</w:t>
      </w:r>
    </w:p>
    <w:p>
      <w:pPr>
        <w:pStyle w:val="ListParagraph"/>
        <w:numPr>
          <w:ilvl w:val="0"/>
          <w:numId w:val="2"/>
        </w:numPr>
        <w:spacing w:after="80"/>
      </w:pPr>
      <w:r>
        <w:t xml:space="preserve">Identify form type from content: W-2, 1099-INT, 1099-DIV, 1099-NEC, 1099-MISC, 1099-R, 1098, 1098-T, 1098-E, K-1, Schedule C, Form 8879, brokerage statement, bank statement, mortgage statement, etc.</w:t>
      </w:r>
    </w:p>
    <w:p>
      <w:pPr>
        <w:pStyle w:val="ListParagraph"/>
        <w:numPr>
          <w:ilvl w:val="0"/>
          <w:numId w:val="2"/>
        </w:numPr>
        <w:spacing w:after="80"/>
      </w:pPr>
      <w:r>
        <w:t xml:space="preserve">Extract issuer name from the form (employer, payer, broker, lender).</w:t>
      </w:r>
    </w:p>
    <w:p>
      <w:pPr>
        <w:pStyle w:val="ListParagraph"/>
        <w:numPr>
          <w:ilvl w:val="0"/>
          <w:numId w:val="2"/>
        </w:numPr>
        <w:spacing w:after="80"/>
      </w:pPr>
      <w:r>
        <w:t xml:space="preserve">Extract tax year.</w:t>
      </w:r>
    </w:p>
    <w:p>
      <w:pPr>
        <w:pStyle w:val="ListParagraph"/>
        <w:numPr>
          <w:ilvl w:val="0"/>
          <w:numId w:val="2"/>
        </w:numPr>
        <w:spacing w:after="80"/>
      </w:pPr>
      <w:r>
        <w:t xml:space="preserve">Generate a standardized filename: "[YEAR] [FORM] - [ISSUER].pdf" (e.g., "2024 W-2 - Acme Corp.pdf").</w:t>
      </w:r>
    </w:p>
    <w:p>
      <w:pPr>
        <w:pStyle w:val="ListParagraph"/>
        <w:numPr>
          <w:ilvl w:val="0"/>
          <w:numId w:val="2"/>
        </w:numPr>
        <w:spacing w:after="80"/>
      </w:pPr>
      <w:r>
        <w:t xml:space="preserve">Allow firm to configure naming convention.</w:t>
      </w:r>
    </w:p>
    <w:p>
      <w:pPr>
        <w:pStyle w:val="ListParagraph"/>
        <w:numPr>
          <w:ilvl w:val="0"/>
          <w:numId w:val="2"/>
        </w:numPr>
        <w:spacing w:after="80"/>
      </w:pPr>
      <w:r>
        <w:t xml:space="preserve">Manual rename available.</w:t>
      </w:r>
    </w:p>
    <w:p>
      <w:pPr>
        <w:pStyle w:val="Heading2"/>
      </w:pPr>
      <w:r>
        <w:t xml:space="preserve">5.5 Smart Split</w:t>
      </w:r>
    </w:p>
    <w:p>
      <w:pPr>
        <w:spacing w:after="120"/>
      </w:pPr>
      <w:r>
        <w:t xml:space="preserve">Acceptance criteria: A multi-page PDF containing several documents must be automatically split into separate files routed to the correct task.</w:t>
      </w:r>
    </w:p>
    <w:p>
      <w:pPr>
        <w:pStyle w:val="ListParagraph"/>
        <w:numPr>
          <w:ilvl w:val="0"/>
          <w:numId w:val="2"/>
        </w:numPr>
        <w:spacing w:after="80"/>
      </w:pPr>
      <w:r>
        <w:t xml:space="preserve">Detect document boundaries within a single PDF (a single upload might contain a W-2, a 1099, and a bank statement).</w:t>
      </w:r>
    </w:p>
    <w:p>
      <w:pPr>
        <w:pStyle w:val="ListParagraph"/>
        <w:numPr>
          <w:ilvl w:val="0"/>
          <w:numId w:val="2"/>
        </w:numPr>
        <w:spacing w:after="80"/>
      </w:pPr>
      <w:r>
        <w:t xml:space="preserve">Split into individual PDFs.</w:t>
      </w:r>
    </w:p>
    <w:p>
      <w:pPr>
        <w:pStyle w:val="ListParagraph"/>
        <w:numPr>
          <w:ilvl w:val="0"/>
          <w:numId w:val="2"/>
        </w:numPr>
        <w:spacing w:after="80"/>
      </w:pPr>
      <w:r>
        <w:t xml:space="preserve">Apply smart rename to each split document.</w:t>
      </w:r>
    </w:p>
    <w:p>
      <w:pPr>
        <w:pStyle w:val="ListParagraph"/>
        <w:numPr>
          <w:ilvl w:val="0"/>
          <w:numId w:val="2"/>
        </w:numPr>
        <w:spacing w:after="80"/>
      </w:pPr>
      <w:r>
        <w:t xml:space="preserve">Route each split document to the matching task in the project checklist (W-2 goes to "W-2 from Acme Corp" task).</w:t>
      </w:r>
    </w:p>
    <w:p>
      <w:pPr>
        <w:pStyle w:val="Heading2"/>
      </w:pPr>
      <w:r>
        <w:t xml:space="preserve">5.6 De-Duplication</w:t>
      </w:r>
    </w:p>
    <w:p>
      <w:pPr>
        <w:pStyle w:val="ListParagraph"/>
        <w:numPr>
          <w:ilvl w:val="0"/>
          <w:numId w:val="2"/>
        </w:numPr>
        <w:spacing w:after="80"/>
      </w:pPr>
      <w:r>
        <w:t xml:space="preserve">Detect duplicate uploads (same content, same form, same year).</w:t>
      </w:r>
    </w:p>
    <w:p>
      <w:pPr>
        <w:pStyle w:val="ListParagraph"/>
        <w:numPr>
          <w:ilvl w:val="0"/>
          <w:numId w:val="2"/>
        </w:numPr>
        <w:spacing w:after="80"/>
      </w:pPr>
      <w:r>
        <w:t xml:space="preserve">Flag duplicates for firm review rather than auto-deleting.</w:t>
      </w:r>
    </w:p>
    <w:p>
      <w:pPr>
        <w:pStyle w:val="Heading2"/>
      </w:pPr>
      <w:r>
        <w:t xml:space="preserve">5.7 Extraction</w:t>
      </w:r>
    </w:p>
    <w:p>
      <w:pPr>
        <w:pStyle w:val="ListParagraph"/>
        <w:numPr>
          <w:ilvl w:val="0"/>
          <w:numId w:val="2"/>
        </w:numPr>
        <w:spacing w:after="80"/>
      </w:pPr>
      <w:r>
        <w:t xml:space="preserve">Extract key values from common forms (W-2 wages, federal withholding, 1099 amounts, etc.).</w:t>
      </w:r>
    </w:p>
    <w:p>
      <w:pPr>
        <w:pStyle w:val="ListParagraph"/>
        <w:numPr>
          <w:ilvl w:val="0"/>
          <w:numId w:val="2"/>
        </w:numPr>
        <w:spacing w:after="80"/>
      </w:pPr>
      <w:r>
        <w:t xml:space="preserve">Make extracted values available in workpaper and downstream API for Phase 2.</w:t>
      </w:r>
    </w:p>
    <w:p>
      <w:pPr>
        <w:pStyle w:val="ListParagraph"/>
        <w:numPr>
          <w:ilvl w:val="0"/>
          <w:numId w:val="2"/>
        </w:numPr>
        <w:spacing w:after="80"/>
      </w:pPr>
      <w:r>
        <w:t xml:space="preserve">Visible confidence score per extraction.</w:t>
      </w:r>
    </w:p>
    <w:p>
      <w:r>
        <w:br w:type="page"/>
      </w:r>
    </w:p>
    <w:p>
      <w:pPr>
        <w:pStyle w:val="Heading1"/>
      </w:pPr>
      <w:r>
        <w:t xml:space="preserve">6. Workpaper Module</w:t>
      </w:r>
    </w:p>
    <w:p>
      <w:pPr>
        <w:spacing w:after="120"/>
      </w:pPr>
      <w:r>
        <w:t xml:space="preserve">The workpaper module organizes received documents into review-ready packets and provides in-browser annotation.</w:t>
      </w:r>
    </w:p>
    <w:p>
      <w:pPr>
        <w:pStyle w:val="Heading2"/>
      </w:pPr>
      <w:r>
        <w:t xml:space="preserve">6.1 Workpaper Pack Assembly</w:t>
      </w:r>
    </w:p>
    <w:p>
      <w:pPr>
        <w:pStyle w:val="ListParagraph"/>
        <w:numPr>
          <w:ilvl w:val="0"/>
          <w:numId w:val="2"/>
        </w:numPr>
        <w:spacing w:after="80"/>
      </w:pPr>
      <w:r>
        <w:t xml:space="preserve">One-click assembly of all received documents into a single combined PDF in standard tax-return order.</w:t>
      </w:r>
    </w:p>
    <w:p>
      <w:pPr>
        <w:pStyle w:val="ListParagraph"/>
        <w:numPr>
          <w:ilvl w:val="0"/>
          <w:numId w:val="2"/>
        </w:numPr>
        <w:spacing w:after="80"/>
      </w:pPr>
      <w:r>
        <w:t xml:space="preserve">Auto-generated bookmarks and table of contents for every document.</w:t>
      </w:r>
    </w:p>
    <w:p>
      <w:pPr>
        <w:pStyle w:val="ListParagraph"/>
        <w:numPr>
          <w:ilvl w:val="0"/>
          <w:numId w:val="2"/>
        </w:numPr>
        <w:spacing w:after="80"/>
      </w:pPr>
      <w:r>
        <w:t xml:space="preserve">Configurable return-order templates (1040, 1120-S, 1065, 1041, 990).</w:t>
      </w:r>
    </w:p>
    <w:p>
      <w:pPr>
        <w:pStyle w:val="ListParagraph"/>
        <w:numPr>
          <w:ilvl w:val="0"/>
          <w:numId w:val="2"/>
        </w:numPr>
        <w:spacing w:after="80"/>
      </w:pPr>
      <w:r>
        <w:t xml:space="preserve">Manual reordering via drag and drop.</w:t>
      </w:r>
    </w:p>
    <w:p>
      <w:pPr>
        <w:pStyle w:val="ListParagraph"/>
        <w:numPr>
          <w:ilvl w:val="0"/>
          <w:numId w:val="2"/>
        </w:numPr>
        <w:spacing w:after="80"/>
      </w:pPr>
      <w:r>
        <w:t xml:space="preserve">Cover sheet with client name, year, return type, preparer.</w:t>
      </w:r>
    </w:p>
    <w:p>
      <w:pPr>
        <w:pStyle w:val="Heading2"/>
      </w:pPr>
      <w:r>
        <w:t xml:space="preserve">6.2 In-Browser Annotation</w:t>
      </w:r>
    </w:p>
    <w:p>
      <w:pPr>
        <w:pStyle w:val="ListParagraph"/>
        <w:numPr>
          <w:ilvl w:val="0"/>
          <w:numId w:val="2"/>
        </w:numPr>
        <w:spacing w:after="80"/>
      </w:pPr>
      <w:r>
        <w:t xml:space="preserve">Tick marks (standard accounting symbols: traced, footed, verified, etc.) with customizable legend.</w:t>
      </w:r>
    </w:p>
    <w:p>
      <w:pPr>
        <w:pStyle w:val="ListParagraph"/>
        <w:numPr>
          <w:ilvl w:val="0"/>
          <w:numId w:val="2"/>
        </w:numPr>
        <w:spacing w:after="80"/>
      </w:pPr>
      <w:r>
        <w:t xml:space="preserve">Stamps (paid, reviewed, approved, do not file, etc.) with custom stamps allowed.</w:t>
      </w:r>
    </w:p>
    <w:p>
      <w:pPr>
        <w:pStyle w:val="ListParagraph"/>
        <w:numPr>
          <w:ilvl w:val="0"/>
          <w:numId w:val="2"/>
        </w:numPr>
        <w:spacing w:after="80"/>
      </w:pPr>
      <w:r>
        <w:t xml:space="preserve">Sticky notes and text annotations.</w:t>
      </w:r>
    </w:p>
    <w:p>
      <w:pPr>
        <w:pStyle w:val="ListParagraph"/>
        <w:numPr>
          <w:ilvl w:val="0"/>
          <w:numId w:val="2"/>
        </w:numPr>
        <w:spacing w:after="80"/>
      </w:pPr>
      <w:r>
        <w:t xml:space="preserve">Highlighting and shape tools.</w:t>
      </w:r>
    </w:p>
    <w:p>
      <w:pPr>
        <w:pStyle w:val="ListParagraph"/>
        <w:numPr>
          <w:ilvl w:val="0"/>
          <w:numId w:val="2"/>
        </w:numPr>
        <w:spacing w:after="80"/>
      </w:pPr>
      <w:r>
        <w:t xml:space="preserve">10-key calculator with a running tape that pins to the PDF so the audit trail is visible.</w:t>
      </w:r>
    </w:p>
    <w:p>
      <w:pPr>
        <w:pStyle w:val="ListParagraph"/>
        <w:numPr>
          <w:ilvl w:val="0"/>
          <w:numId w:val="2"/>
        </w:numPr>
        <w:spacing w:after="80"/>
      </w:pPr>
      <w:r>
        <w:t xml:space="preserve">Every annotation is timestamped, signed by user, and tracked in the audit log.</w:t>
      </w:r>
    </w:p>
    <w:p>
      <w:pPr>
        <w:pStyle w:val="Heading2"/>
      </w:pPr>
      <w:r>
        <w:t xml:space="preserve">6.3 Review Workflow</w:t>
      </w:r>
    </w:p>
    <w:p>
      <w:pPr>
        <w:pStyle w:val="ListParagraph"/>
        <w:numPr>
          <w:ilvl w:val="0"/>
          <w:numId w:val="2"/>
        </w:numPr>
        <w:spacing w:after="80"/>
      </w:pPr>
      <w:r>
        <w:t xml:space="preserve">Multi-level review: preparer submits, reviewer reviews, second reviewer approves.</w:t>
      </w:r>
    </w:p>
    <w:p>
      <w:pPr>
        <w:pStyle w:val="ListParagraph"/>
        <w:numPr>
          <w:ilvl w:val="0"/>
          <w:numId w:val="2"/>
        </w:numPr>
        <w:spacing w:after="80"/>
      </w:pPr>
      <w:r>
        <w:t xml:space="preserve">In-line comments tied to specific document pages or annotations.</w:t>
      </w:r>
    </w:p>
    <w:p>
      <w:pPr>
        <w:pStyle w:val="ListParagraph"/>
        <w:numPr>
          <w:ilvl w:val="0"/>
          <w:numId w:val="2"/>
        </w:numPr>
        <w:spacing w:after="80"/>
      </w:pPr>
      <w:r>
        <w:t xml:space="preserve">"Send back to preparer" flow with reviewer notes.</w:t>
      </w:r>
    </w:p>
    <w:p>
      <w:pPr>
        <w:pStyle w:val="ListParagraph"/>
        <w:numPr>
          <w:ilvl w:val="0"/>
          <w:numId w:val="2"/>
        </w:numPr>
        <w:spacing w:after="80"/>
      </w:pPr>
      <w:r>
        <w:t xml:space="preserve">Review status tracked per workpaper and per project.</w:t>
      </w:r>
    </w:p>
    <w:p>
      <w:pPr>
        <w:pStyle w:val="Heading2"/>
      </w:pPr>
      <w:r>
        <w:t xml:space="preserve">6.4 Drag and Drop</w:t>
      </w:r>
    </w:p>
    <w:p>
      <w:pPr>
        <w:pStyle w:val="ListParagraph"/>
        <w:numPr>
          <w:ilvl w:val="0"/>
          <w:numId w:val="2"/>
        </w:numPr>
        <w:spacing w:after="80"/>
      </w:pPr>
      <w:r>
        <w:t xml:space="preserve">Reorder documents in the pack.</w:t>
      </w:r>
    </w:p>
    <w:p>
      <w:pPr>
        <w:pStyle w:val="ListParagraph"/>
        <w:numPr>
          <w:ilvl w:val="0"/>
          <w:numId w:val="2"/>
        </w:numPr>
        <w:spacing w:after="80"/>
      </w:pPr>
      <w:r>
        <w:t xml:space="preserve">Move documents between projects or tasks.</w:t>
      </w:r>
    </w:p>
    <w:p>
      <w:pPr>
        <w:pStyle w:val="ListParagraph"/>
        <w:numPr>
          <w:ilvl w:val="0"/>
          <w:numId w:val="2"/>
        </w:numPr>
        <w:spacing w:after="80"/>
      </w:pPr>
      <w:r>
        <w:t xml:space="preserve">Add documents from firm drive or other projects.</w:t>
      </w:r>
    </w:p>
    <w:p>
      <w:r>
        <w:br w:type="page"/>
      </w:r>
    </w:p>
    <w:p>
      <w:pPr>
        <w:pStyle w:val="Heading1"/>
      </w:pPr>
      <w:r>
        <w:t xml:space="preserve">7. AI Assistant</w:t>
      </w:r>
    </w:p>
    <w:p>
      <w:pPr>
        <w:spacing w:after="120"/>
      </w:pPr>
      <w:r>
        <w:t xml:space="preserve">The platform must include an AI assistant accessible from a side panel on every screen. This is equivalent to Truss "Max AI." The assistant must have project context awareness, meaning when invoked from within a project it has access to that project documents and history.</w:t>
      </w:r>
    </w:p>
    <w:p>
      <w:pPr>
        <w:pStyle w:val="Heading2"/>
      </w:pPr>
      <w:r>
        <w:t xml:space="preserve">7.1 Core Capabilities</w:t>
      </w:r>
    </w:p>
    <w:p>
      <w:pPr>
        <w:pStyle w:val="ListParagraph"/>
        <w:numPr>
          <w:ilvl w:val="0"/>
          <w:numId w:val="2"/>
        </w:numPr>
        <w:spacing w:after="80"/>
      </w:pPr>
      <w:r>
        <w:rPr>
          <w:b/>
          <w:bCs/>
        </w:rPr>
        <w:t xml:space="preserve">Document Q&amp;A: </w:t>
      </w:r>
      <w:r>
        <w:t xml:space="preserve">Read uploaded client documents, prior tax returns, and emails to answer specific questions ("What was the total interest income from all 1099-INTs?").</w:t>
      </w:r>
    </w:p>
    <w:p>
      <w:pPr>
        <w:pStyle w:val="ListParagraph"/>
        <w:numPr>
          <w:ilvl w:val="0"/>
          <w:numId w:val="2"/>
        </w:numPr>
        <w:spacing w:after="80"/>
      </w:pPr>
      <w:r>
        <w:rPr>
          <w:b/>
          <w:bCs/>
        </w:rPr>
        <w:t xml:space="preserve">Return Analysis: </w:t>
      </w:r>
      <w:r>
        <w:t xml:space="preserve">Read a tax return PDF and flag unusual items, missing schedules, or potential issues. Compare year-over-year and highlight changes.</w:t>
      </w:r>
    </w:p>
    <w:p>
      <w:pPr>
        <w:pStyle w:val="ListParagraph"/>
        <w:numPr>
          <w:ilvl w:val="0"/>
          <w:numId w:val="2"/>
        </w:numPr>
        <w:spacing w:after="80"/>
      </w:pPr>
      <w:r>
        <w:rPr>
          <w:b/>
          <w:bCs/>
        </w:rPr>
        <w:t xml:space="preserve">Cross-Document Search: </w:t>
      </w:r>
      <w:r>
        <w:t xml:space="preserve">Search across all uploaded files by form name, dollar amount, SSN, payer name, or natural language description.</w:t>
      </w:r>
    </w:p>
    <w:p>
      <w:pPr>
        <w:pStyle w:val="ListParagraph"/>
        <w:numPr>
          <w:ilvl w:val="0"/>
          <w:numId w:val="2"/>
        </w:numPr>
        <w:spacing w:after="80"/>
      </w:pPr>
      <w:r>
        <w:rPr>
          <w:b/>
          <w:bCs/>
        </w:rPr>
        <w:t xml:space="preserve">Email Search: </w:t>
      </w:r>
      <w:r>
        <w:t xml:space="preserve">Connected to firm email accounts, can search client correspondence for context ("Did the client mention a rental property?").</w:t>
      </w:r>
    </w:p>
    <w:p>
      <w:pPr>
        <w:pStyle w:val="ListParagraph"/>
        <w:numPr>
          <w:ilvl w:val="0"/>
          <w:numId w:val="2"/>
        </w:numPr>
        <w:spacing w:after="80"/>
      </w:pPr>
      <w:r>
        <w:rPr>
          <w:b/>
          <w:bCs/>
        </w:rPr>
        <w:t xml:space="preserve">Tax Research: </w:t>
      </w:r>
      <w:r>
        <w:t xml:space="preserve">Answer general tax research questions citing sources.</w:t>
      </w:r>
    </w:p>
    <w:p>
      <w:pPr>
        <w:pStyle w:val="ListParagraph"/>
        <w:numPr>
          <w:ilvl w:val="0"/>
          <w:numId w:val="2"/>
        </w:numPr>
        <w:spacing w:after="80"/>
      </w:pPr>
      <w:r>
        <w:rPr>
          <w:b/>
          <w:bCs/>
        </w:rPr>
        <w:t xml:space="preserve">Email Drafting: </w:t>
      </w:r>
      <w:r>
        <w:t xml:space="preserve">Draft client emails about open items, status updates, follow-ups, with full project context. One-click send through connected email account.</w:t>
      </w:r>
    </w:p>
    <w:p>
      <w:pPr>
        <w:pStyle w:val="ListParagraph"/>
        <w:numPr>
          <w:ilvl w:val="0"/>
          <w:numId w:val="2"/>
        </w:numPr>
        <w:spacing w:after="80"/>
      </w:pPr>
      <w:r>
        <w:rPr>
          <w:b/>
          <w:bCs/>
        </w:rPr>
        <w:t xml:space="preserve">Tax Planning: </w:t>
      </w:r>
      <w:r>
        <w:t xml:space="preserve">Generate tax planning scenarios based on the clients prior-year return and stated goals.</w:t>
      </w:r>
    </w:p>
    <w:p>
      <w:pPr>
        <w:pStyle w:val="Heading2"/>
      </w:pPr>
      <w:r>
        <w:t xml:space="preserve">7.2 Research Mode</w:t>
      </w:r>
    </w:p>
    <w:p>
      <w:pPr>
        <w:pStyle w:val="ListParagraph"/>
        <w:numPr>
          <w:ilvl w:val="0"/>
          <w:numId w:val="2"/>
        </w:numPr>
        <w:spacing w:after="80"/>
      </w:pPr>
      <w:r>
        <w:t xml:space="preserve">Toggle on/off per query.</w:t>
      </w:r>
    </w:p>
    <w:p>
      <w:pPr>
        <w:pStyle w:val="ListParagraph"/>
        <w:numPr>
          <w:ilvl w:val="0"/>
          <w:numId w:val="2"/>
        </w:numPr>
        <w:spacing w:after="80"/>
      </w:pPr>
      <w:r>
        <w:t xml:space="preserve">When on, the assistant searches the web for current tax rules, IRS guidance, recent case law.</w:t>
      </w:r>
    </w:p>
    <w:p>
      <w:pPr>
        <w:pStyle w:val="ListParagraph"/>
        <w:numPr>
          <w:ilvl w:val="0"/>
          <w:numId w:val="2"/>
        </w:numPr>
        <w:spacing w:after="80"/>
      </w:pPr>
      <w:r>
        <w:t xml:space="preserve">All sources are cited with links.</w:t>
      </w:r>
    </w:p>
    <w:p>
      <w:pPr>
        <w:pStyle w:val="ListParagraph"/>
        <w:numPr>
          <w:ilvl w:val="0"/>
          <w:numId w:val="2"/>
        </w:numPr>
        <w:spacing w:after="80"/>
      </w:pPr>
      <w:r>
        <w:t xml:space="preserve">When off, the assistant uses platform data only (faster, no web calls).</w:t>
      </w:r>
    </w:p>
    <w:p>
      <w:pPr>
        <w:pStyle w:val="Heading2"/>
      </w:pPr>
      <w:r>
        <w:t xml:space="preserve">7.3 Conversation Management</w:t>
      </w:r>
    </w:p>
    <w:p>
      <w:pPr>
        <w:pStyle w:val="ListParagraph"/>
        <w:numPr>
          <w:ilvl w:val="0"/>
          <w:numId w:val="2"/>
        </w:numPr>
        <w:spacing w:after="80"/>
      </w:pPr>
      <w:r>
        <w:t xml:space="preserve">Conversations are saved and organized by project, contact, or entity.</w:t>
      </w:r>
    </w:p>
    <w:p>
      <w:pPr>
        <w:pStyle w:val="ListParagraph"/>
        <w:numPr>
          <w:ilvl w:val="0"/>
          <w:numId w:val="2"/>
        </w:numPr>
        <w:spacing w:after="80"/>
      </w:pPr>
      <w:r>
        <w:t xml:space="preserve">Users can return to a prior conversation to continue.</w:t>
      </w:r>
    </w:p>
    <w:p>
      <w:pPr>
        <w:pStyle w:val="ListParagraph"/>
        <w:numPr>
          <w:ilvl w:val="0"/>
          <w:numId w:val="2"/>
        </w:numPr>
        <w:spacing w:after="80"/>
      </w:pPr>
      <w:r>
        <w:t xml:space="preserve">Conversations are searchable.</w:t>
      </w:r>
    </w:p>
    <w:p>
      <w:pPr>
        <w:pStyle w:val="Heading2"/>
      </w:pPr>
      <w:r>
        <w:t xml:space="preserve">7.4 Data Privacy and AI Safety</w:t>
      </w:r>
    </w:p>
    <w:p>
      <w:pPr>
        <w:pStyle w:val="ListParagraph"/>
        <w:numPr>
          <w:ilvl w:val="0"/>
          <w:numId w:val="2"/>
        </w:numPr>
        <w:spacing w:after="80"/>
      </w:pPr>
      <w:r>
        <w:t xml:space="preserve">Client data is encrypted at rest and in transit.</w:t>
      </w:r>
    </w:p>
    <w:p>
      <w:pPr>
        <w:pStyle w:val="ListParagraph"/>
        <w:numPr>
          <w:ilvl w:val="0"/>
          <w:numId w:val="2"/>
        </w:numPr>
        <w:spacing w:after="80"/>
      </w:pPr>
      <w:r>
        <w:t xml:space="preserve">AI provider must offer zero data retention (no training on firm data).</w:t>
      </w:r>
    </w:p>
    <w:p>
      <w:pPr>
        <w:pStyle w:val="ListParagraph"/>
        <w:numPr>
          <w:ilvl w:val="0"/>
          <w:numId w:val="2"/>
        </w:numPr>
        <w:spacing w:after="80"/>
      </w:pPr>
      <w:r>
        <w:t xml:space="preserve">All AI interactions are logged in the audit trail.</w:t>
      </w:r>
    </w:p>
    <w:p>
      <w:pPr>
        <w:pStyle w:val="ListParagraph"/>
        <w:numPr>
          <w:ilvl w:val="0"/>
          <w:numId w:val="2"/>
        </w:numPr>
        <w:spacing w:after="80"/>
      </w:pPr>
      <w:r>
        <w:t xml:space="preserve">Per-firm and per-user conversation isolation.</w:t>
      </w:r>
    </w:p>
    <w:p>
      <w:pPr>
        <w:pStyle w:val="ListParagraph"/>
        <w:numPr>
          <w:ilvl w:val="0"/>
          <w:numId w:val="2"/>
        </w:numPr>
        <w:spacing w:after="80"/>
      </w:pPr>
      <w:r>
        <w:t xml:space="preserve">Configurable PII redaction in AI prompts (firm-level setting).</w:t>
      </w:r>
    </w:p>
    <w:p>
      <w:r>
        <w:br w:type="page"/>
      </w:r>
    </w:p>
    <w:p>
      <w:pPr>
        <w:pStyle w:val="Heading1"/>
      </w:pPr>
      <w:r>
        <w:t xml:space="preserve">8. Delivery Module</w:t>
      </w:r>
    </w:p>
    <w:p>
      <w:pPr>
        <w:spacing w:after="120"/>
      </w:pPr>
      <w:r>
        <w:t xml:space="preserve">The delivery module assembles the final return packet, collects signatures and payment, and distributes K-1s.</w:t>
      </w:r>
    </w:p>
    <w:p>
      <w:pPr>
        <w:pStyle w:val="Heading2"/>
      </w:pPr>
      <w:r>
        <w:t xml:space="preserve">8.1 Branded Delivery Packets</w:t>
      </w:r>
    </w:p>
    <w:p>
      <w:pPr>
        <w:pStyle w:val="ListParagraph"/>
        <w:numPr>
          <w:ilvl w:val="0"/>
          <w:numId w:val="2"/>
        </w:numPr>
        <w:spacing w:after="80"/>
      </w:pPr>
      <w:r>
        <w:t xml:space="preserve">Auto-build delivery PDF with firm branding (logo, colors, contact info).</w:t>
      </w:r>
    </w:p>
    <w:p>
      <w:pPr>
        <w:pStyle w:val="ListParagraph"/>
        <w:numPr>
          <w:ilvl w:val="0"/>
          <w:numId w:val="2"/>
        </w:numPr>
        <w:spacing w:after="80"/>
      </w:pPr>
      <w:r>
        <w:t xml:space="preserve">Configurable sections: cover letter, invoice, tax return for review, signature pages, bank info verification, K-1s.</w:t>
      </w:r>
    </w:p>
    <w:p>
      <w:pPr>
        <w:pStyle w:val="ListParagraph"/>
        <w:numPr>
          <w:ilvl w:val="0"/>
          <w:numId w:val="2"/>
        </w:numPr>
        <w:spacing w:after="80"/>
      </w:pPr>
      <w:r>
        <w:t xml:space="preserve">Support for the platform to accept an uploaded final tax return PDF (from Drake or another tax software) and automatically split it into the standard delivery components.</w:t>
      </w:r>
    </w:p>
    <w:p>
      <w:pPr>
        <w:pStyle w:val="Heading2"/>
      </w:pPr>
      <w:r>
        <w:t xml:space="preserve">8.2 E-Signature</w:t>
      </w:r>
    </w:p>
    <w:p>
      <w:pPr>
        <w:pStyle w:val="ListParagraph"/>
        <w:numPr>
          <w:ilvl w:val="0"/>
          <w:numId w:val="2"/>
        </w:numPr>
        <w:spacing w:after="80"/>
      </w:pPr>
      <w:r>
        <w:t xml:space="preserve">Built-in e-signature for all firm documents (engagement letters, Form 8879, consent forms, custom forms).</w:t>
      </w:r>
    </w:p>
    <w:p>
      <w:pPr>
        <w:pStyle w:val="ListParagraph"/>
        <w:numPr>
          <w:ilvl w:val="0"/>
          <w:numId w:val="2"/>
        </w:numPr>
        <w:spacing w:after="80"/>
      </w:pPr>
      <w:r>
        <w:t xml:space="preserve">Signer authentication via email, SMS, or knowledge-based.</w:t>
      </w:r>
    </w:p>
    <w:p>
      <w:pPr>
        <w:pStyle w:val="ListParagraph"/>
        <w:numPr>
          <w:ilvl w:val="0"/>
          <w:numId w:val="2"/>
        </w:numPr>
        <w:spacing w:after="80"/>
      </w:pPr>
      <w:r>
        <w:t xml:space="preserve">Multi-signer support (joint returns, business entities).</w:t>
      </w:r>
    </w:p>
    <w:p>
      <w:pPr>
        <w:pStyle w:val="ListParagraph"/>
        <w:numPr>
          <w:ilvl w:val="0"/>
          <w:numId w:val="2"/>
        </w:numPr>
        <w:spacing w:after="80"/>
      </w:pPr>
      <w:r>
        <w:t xml:space="preserve">Audit-quality signature certificates with IP, timestamp, and signer details.</w:t>
      </w:r>
    </w:p>
    <w:p>
      <w:pPr>
        <w:pStyle w:val="ListParagraph"/>
        <w:numPr>
          <w:ilvl w:val="0"/>
          <w:numId w:val="2"/>
        </w:numPr>
        <w:spacing w:after="80"/>
      </w:pPr>
      <w:r>
        <w:t xml:space="preserve">Compliant with ESIGN Act and IRS requirements for electronic signatures on tax forms.</w:t>
      </w:r>
    </w:p>
    <w:p>
      <w:pPr>
        <w:pStyle w:val="ListParagraph"/>
        <w:numPr>
          <w:ilvl w:val="0"/>
          <w:numId w:val="2"/>
        </w:numPr>
        <w:spacing w:after="80"/>
      </w:pPr>
      <w:r>
        <w:t xml:space="preserve">Reminders to unsigned recipients on configurable cadence.</w:t>
      </w:r>
    </w:p>
    <w:p>
      <w:pPr>
        <w:pStyle w:val="Heading2"/>
      </w:pPr>
      <w:r>
        <w:t xml:space="preserve">8.3 Payment and Invoicing</w:t>
      </w:r>
    </w:p>
    <w:p>
      <w:pPr>
        <w:pStyle w:val="ListParagraph"/>
        <w:numPr>
          <w:ilvl w:val="0"/>
          <w:numId w:val="2"/>
        </w:numPr>
        <w:spacing w:after="80"/>
      </w:pPr>
      <w:r>
        <w:t xml:space="preserve">Generate invoices with merge fields from project data.</w:t>
      </w:r>
    </w:p>
    <w:p>
      <w:pPr>
        <w:pStyle w:val="ListParagraph"/>
        <w:numPr>
          <w:ilvl w:val="0"/>
          <w:numId w:val="2"/>
        </w:numPr>
        <w:spacing w:after="80"/>
      </w:pPr>
      <w:r>
        <w:t xml:space="preserve">Accept payment by ACH and credit card at delivery (configurable).</w:t>
      </w:r>
    </w:p>
    <w:p>
      <w:pPr>
        <w:pStyle w:val="ListParagraph"/>
        <w:numPr>
          <w:ilvl w:val="0"/>
          <w:numId w:val="2"/>
        </w:numPr>
        <w:spacing w:after="80"/>
      </w:pPr>
      <w:r>
        <w:t xml:space="preserve">Hold return delivery until payment received (configurable per project).</w:t>
      </w:r>
    </w:p>
    <w:p>
      <w:pPr>
        <w:pStyle w:val="ListParagraph"/>
        <w:numPr>
          <w:ilvl w:val="0"/>
          <w:numId w:val="2"/>
        </w:numPr>
        <w:spacing w:after="80"/>
      </w:pPr>
      <w:r>
        <w:t xml:space="preserve">Integration with major payment processors (Stripe, Authorize.net, or similar).</w:t>
      </w:r>
    </w:p>
    <w:p>
      <w:pPr>
        <w:pStyle w:val="ListParagraph"/>
        <w:numPr>
          <w:ilvl w:val="0"/>
          <w:numId w:val="2"/>
        </w:numPr>
        <w:spacing w:after="80"/>
      </w:pPr>
      <w:r>
        <w:t xml:space="preserve">Track outstanding invoices and aging.</w:t>
      </w:r>
    </w:p>
    <w:p>
      <w:pPr>
        <w:pStyle w:val="Heading2"/>
      </w:pPr>
      <w:r>
        <w:t xml:space="preserve">8.4 Bank Information Verification</w:t>
      </w:r>
    </w:p>
    <w:p>
      <w:pPr>
        <w:pStyle w:val="ListParagraph"/>
        <w:numPr>
          <w:ilvl w:val="0"/>
          <w:numId w:val="2"/>
        </w:numPr>
        <w:spacing w:after="80"/>
      </w:pPr>
      <w:r>
        <w:t xml:space="preserve">Client confirms or updates routing and account numbers for refund deposit or balance due payment.</w:t>
      </w:r>
    </w:p>
    <w:p>
      <w:pPr>
        <w:pStyle w:val="ListParagraph"/>
        <w:numPr>
          <w:ilvl w:val="0"/>
          <w:numId w:val="2"/>
        </w:numPr>
        <w:spacing w:after="80"/>
      </w:pPr>
      <w:r>
        <w:t xml:space="preserve">Verification flow with masked inputs and re-entry confirmation.</w:t>
      </w:r>
    </w:p>
    <w:p>
      <w:pPr>
        <w:pStyle w:val="ListParagraph"/>
        <w:numPr>
          <w:ilvl w:val="0"/>
          <w:numId w:val="2"/>
        </w:numPr>
        <w:spacing w:after="80"/>
      </w:pPr>
      <w:r>
        <w:t xml:space="preserve">Encrypted storage of bank information.</w:t>
      </w:r>
    </w:p>
    <w:p>
      <w:pPr>
        <w:pStyle w:val="Heading2"/>
      </w:pPr>
      <w:r>
        <w:t xml:space="preserve">8.5 K-1 Distribution</w:t>
      </w:r>
    </w:p>
    <w:p>
      <w:pPr>
        <w:pStyle w:val="ListParagraph"/>
        <w:numPr>
          <w:ilvl w:val="0"/>
          <w:numId w:val="2"/>
        </w:numPr>
        <w:spacing w:after="80"/>
      </w:pPr>
      <w:r>
        <w:t xml:space="preserve">Bulk distribute K-1s to partners or shareholders from a partnership or S-Corp return.</w:t>
      </w:r>
    </w:p>
    <w:p>
      <w:pPr>
        <w:pStyle w:val="ListParagraph"/>
        <w:numPr>
          <w:ilvl w:val="0"/>
          <w:numId w:val="2"/>
        </w:numPr>
        <w:spacing w:after="80"/>
      </w:pPr>
      <w:r>
        <w:t xml:space="preserve">Each recipient gets their own K-1 only (not the full partnership return).</w:t>
      </w:r>
    </w:p>
    <w:p>
      <w:pPr>
        <w:pStyle w:val="ListParagraph"/>
        <w:numPr>
          <w:ilvl w:val="0"/>
          <w:numId w:val="2"/>
        </w:numPr>
        <w:spacing w:after="80"/>
      </w:pPr>
      <w:r>
        <w:t xml:space="preserve">Tracking: which K-1 recipients have opened, downloaded, signed (if required).</w:t>
      </w:r>
    </w:p>
    <w:p>
      <w:pPr>
        <w:pStyle w:val="ListParagraph"/>
        <w:numPr>
          <w:ilvl w:val="0"/>
          <w:numId w:val="2"/>
        </w:numPr>
        <w:spacing w:after="80"/>
      </w:pPr>
      <w:r>
        <w:t xml:space="preserve">Re-send and reminder workflows.</w:t>
      </w:r>
    </w:p>
    <w:p>
      <w:pPr>
        <w:pStyle w:val="ListParagraph"/>
        <w:numPr>
          <w:ilvl w:val="0"/>
          <w:numId w:val="2"/>
        </w:numPr>
        <w:spacing w:after="80"/>
      </w:pPr>
      <w:r>
        <w:t xml:space="preserve">Distribution by secure magic link, not unencrypted email attachment.</w:t>
      </w:r>
    </w:p>
    <w:p>
      <w:pPr>
        <w:pStyle w:val="Heading2"/>
      </w:pPr>
      <w:r>
        <w:t xml:space="preserve">8.6 Secure File Share</w:t>
      </w:r>
    </w:p>
    <w:p>
      <w:pPr>
        <w:pStyle w:val="ListParagraph"/>
        <w:numPr>
          <w:ilvl w:val="0"/>
          <w:numId w:val="2"/>
        </w:numPr>
        <w:spacing w:after="80"/>
      </w:pPr>
      <w:r>
        <w:t xml:space="preserve">Magic links for any one-off file sharing with a client.</w:t>
      </w:r>
    </w:p>
    <w:p>
      <w:pPr>
        <w:pStyle w:val="ListParagraph"/>
        <w:numPr>
          <w:ilvl w:val="0"/>
          <w:numId w:val="2"/>
        </w:numPr>
        <w:spacing w:after="80"/>
      </w:pPr>
      <w:r>
        <w:t xml:space="preserve">Configurable expiration (24 hours, 7 days, custom).</w:t>
      </w:r>
    </w:p>
    <w:p>
      <w:pPr>
        <w:pStyle w:val="ListParagraph"/>
        <w:numPr>
          <w:ilvl w:val="0"/>
          <w:numId w:val="2"/>
        </w:numPr>
        <w:spacing w:after="80"/>
      </w:pPr>
      <w:r>
        <w:t xml:space="preserve">No client account required to access.</w:t>
      </w:r>
    </w:p>
    <w:p>
      <w:pPr>
        <w:pStyle w:val="ListParagraph"/>
        <w:numPr>
          <w:ilvl w:val="0"/>
          <w:numId w:val="2"/>
        </w:numPr>
        <w:spacing w:after="80"/>
      </w:pPr>
      <w:r>
        <w:t xml:space="preserve">Access logged.</w:t>
      </w:r>
    </w:p>
    <w:p>
      <w:r>
        <w:br w:type="page"/>
      </w:r>
    </w:p>
    <w:p>
      <w:pPr>
        <w:pStyle w:val="Heading1"/>
      </w:pPr>
      <w:r>
        <w:t xml:space="preserve">9. Security and Compliance</w:t>
      </w:r>
    </w:p>
    <w:p>
      <w:pPr>
        <w:spacing w:after="120"/>
      </w:pPr>
      <w:r>
        <w:t xml:space="preserve">The platform stores Social Security numbers, tax returns, bank account details, and other highly sensitive client data. Security is non-negotiable. Bidders without demonstrated SOC 2 build experience should not bid.</w:t>
      </w:r>
    </w:p>
    <w:p>
      <w:pPr>
        <w:pStyle w:val="Heading2"/>
      </w:pPr>
      <w:r>
        <w:t xml:space="preserve">9.1 Compliance Frameworks</w:t>
      </w:r>
    </w:p>
    <w:p>
      <w:pPr>
        <w:pStyle w:val="ListParagraph"/>
        <w:numPr>
          <w:ilvl w:val="0"/>
          <w:numId w:val="2"/>
        </w:numPr>
        <w:spacing w:after="80"/>
      </w:pPr>
      <w:r>
        <w:t xml:space="preserve">SOC 2 Type II controls. Sagan Financial Group will pursue the audit; the platform must be built to those controls from day one.</w:t>
      </w:r>
    </w:p>
    <w:p>
      <w:pPr>
        <w:pStyle w:val="ListParagraph"/>
        <w:numPr>
          <w:ilvl w:val="0"/>
          <w:numId w:val="2"/>
        </w:numPr>
        <w:spacing w:after="80"/>
      </w:pPr>
      <w:r>
        <w:t xml:space="preserve">IRS §7216 compliance for taxpayer data handling and consent.</w:t>
      </w:r>
    </w:p>
    <w:p>
      <w:pPr>
        <w:pStyle w:val="ListParagraph"/>
        <w:numPr>
          <w:ilvl w:val="0"/>
          <w:numId w:val="2"/>
        </w:numPr>
        <w:spacing w:after="80"/>
      </w:pPr>
      <w:r>
        <w:t xml:space="preserve">IRS Publication 4557 (safeguards for taxpayer data).</w:t>
      </w:r>
    </w:p>
    <w:p>
      <w:pPr>
        <w:pStyle w:val="ListParagraph"/>
        <w:numPr>
          <w:ilvl w:val="0"/>
          <w:numId w:val="2"/>
        </w:numPr>
        <w:spacing w:after="80"/>
      </w:pPr>
      <w:r>
        <w:t xml:space="preserve">GLBA Safeguards Rule for financial information.</w:t>
      </w:r>
    </w:p>
    <w:p>
      <w:pPr>
        <w:pStyle w:val="ListParagraph"/>
        <w:numPr>
          <w:ilvl w:val="0"/>
          <w:numId w:val="2"/>
        </w:numPr>
        <w:spacing w:after="80"/>
      </w:pPr>
      <w:r>
        <w:t xml:space="preserve">State privacy laws including CCPA where applicable.</w:t>
      </w:r>
    </w:p>
    <w:p>
      <w:pPr>
        <w:pStyle w:val="Heading2"/>
      </w:pPr>
      <w:r>
        <w:t xml:space="preserve">9.2 Data Protection</w:t>
      </w:r>
    </w:p>
    <w:p>
      <w:pPr>
        <w:pStyle w:val="ListParagraph"/>
        <w:numPr>
          <w:ilvl w:val="0"/>
          <w:numId w:val="2"/>
        </w:numPr>
        <w:spacing w:after="80"/>
      </w:pPr>
      <w:r>
        <w:t xml:space="preserve">AES-256 encryption at rest for all client data.</w:t>
      </w:r>
    </w:p>
    <w:p>
      <w:pPr>
        <w:pStyle w:val="ListParagraph"/>
        <w:numPr>
          <w:ilvl w:val="0"/>
          <w:numId w:val="2"/>
        </w:numPr>
        <w:spacing w:after="80"/>
      </w:pPr>
      <w:r>
        <w:t xml:space="preserve">TLS 1.2 or higher for all data in transit.</w:t>
      </w:r>
    </w:p>
    <w:p>
      <w:pPr>
        <w:pStyle w:val="ListParagraph"/>
        <w:numPr>
          <w:ilvl w:val="0"/>
          <w:numId w:val="2"/>
        </w:numPr>
        <w:spacing w:after="80"/>
      </w:pPr>
      <w:r>
        <w:t xml:space="preserve">US-only data residency. No client data leaves US soil.</w:t>
      </w:r>
    </w:p>
    <w:p>
      <w:pPr>
        <w:pStyle w:val="ListParagraph"/>
        <w:numPr>
          <w:ilvl w:val="0"/>
          <w:numId w:val="2"/>
        </w:numPr>
        <w:spacing w:after="80"/>
      </w:pPr>
      <w:r>
        <w:t xml:space="preserve">Encrypted database backups with documented restore procedures.</w:t>
      </w:r>
    </w:p>
    <w:p>
      <w:pPr>
        <w:pStyle w:val="ListParagraph"/>
        <w:numPr>
          <w:ilvl w:val="0"/>
          <w:numId w:val="2"/>
        </w:numPr>
        <w:spacing w:after="80"/>
      </w:pPr>
      <w:r>
        <w:t xml:space="preserve">Key management via cloud KMS (AWS KMS, GCP KMS, or equivalent).</w:t>
      </w:r>
    </w:p>
    <w:p>
      <w:pPr>
        <w:pStyle w:val="Heading2"/>
      </w:pPr>
      <w:r>
        <w:t xml:space="preserve">9.3 Authentication and Access</w:t>
      </w:r>
    </w:p>
    <w:p>
      <w:pPr>
        <w:pStyle w:val="ListParagraph"/>
        <w:numPr>
          <w:ilvl w:val="0"/>
          <w:numId w:val="2"/>
        </w:numPr>
        <w:spacing w:after="80"/>
      </w:pPr>
      <w:r>
        <w:t xml:space="preserve">Multi-factor authentication required for all firm users.</w:t>
      </w:r>
    </w:p>
    <w:p>
      <w:pPr>
        <w:pStyle w:val="ListParagraph"/>
        <w:numPr>
          <w:ilvl w:val="0"/>
          <w:numId w:val="2"/>
        </w:numPr>
        <w:spacing w:after="80"/>
      </w:pPr>
      <w:r>
        <w:t xml:space="preserve">SSO support (SAML or OIDC) for enterprise firm customers.</w:t>
      </w:r>
    </w:p>
    <w:p>
      <w:pPr>
        <w:pStyle w:val="ListParagraph"/>
        <w:numPr>
          <w:ilvl w:val="0"/>
          <w:numId w:val="2"/>
        </w:numPr>
        <w:spacing w:after="80"/>
      </w:pPr>
      <w:r>
        <w:t xml:space="preserve">Password requirements meeting NIST 800-63 guidance.</w:t>
      </w:r>
    </w:p>
    <w:p>
      <w:pPr>
        <w:pStyle w:val="ListParagraph"/>
        <w:numPr>
          <w:ilvl w:val="0"/>
          <w:numId w:val="2"/>
        </w:numPr>
        <w:spacing w:after="80"/>
      </w:pPr>
      <w:r>
        <w:t xml:space="preserve">Session timeout after configurable idle period.</w:t>
      </w:r>
    </w:p>
    <w:p>
      <w:pPr>
        <w:pStyle w:val="ListParagraph"/>
        <w:numPr>
          <w:ilvl w:val="0"/>
          <w:numId w:val="2"/>
        </w:numPr>
        <w:spacing w:after="80"/>
      </w:pPr>
      <w:r>
        <w:t xml:space="preserve">Failed login attempts trigger lockout and alerts.</w:t>
      </w:r>
    </w:p>
    <w:p>
      <w:pPr>
        <w:pStyle w:val="ListParagraph"/>
        <w:numPr>
          <w:ilvl w:val="0"/>
          <w:numId w:val="2"/>
        </w:numPr>
        <w:spacing w:after="80"/>
      </w:pPr>
      <w:r>
        <w:t xml:space="preserve">Device tracking and notification of new device logins.</w:t>
      </w:r>
    </w:p>
    <w:p>
      <w:pPr>
        <w:pStyle w:val="Heading2"/>
      </w:pPr>
      <w:r>
        <w:t xml:space="preserve">9.4 Audit Logging</w:t>
      </w:r>
    </w:p>
    <w:p>
      <w:pPr>
        <w:pStyle w:val="ListParagraph"/>
        <w:numPr>
          <w:ilvl w:val="0"/>
          <w:numId w:val="2"/>
        </w:numPr>
        <w:spacing w:after="80"/>
      </w:pPr>
      <w:r>
        <w:t xml:space="preserve">Every user action logged with user, timestamp, IP, action, and affected resource.</w:t>
      </w:r>
    </w:p>
    <w:p>
      <w:pPr>
        <w:pStyle w:val="ListParagraph"/>
        <w:numPr>
          <w:ilvl w:val="0"/>
          <w:numId w:val="2"/>
        </w:numPr>
        <w:spacing w:after="80"/>
      </w:pPr>
      <w:r>
        <w:t xml:space="preserve">Logs immutable and retained for a minimum of seven years.</w:t>
      </w:r>
    </w:p>
    <w:p>
      <w:pPr>
        <w:pStyle w:val="ListParagraph"/>
        <w:numPr>
          <w:ilvl w:val="0"/>
          <w:numId w:val="2"/>
        </w:numPr>
        <w:spacing w:after="80"/>
      </w:pPr>
      <w:r>
        <w:t xml:space="preserve">Log export for firm-side audit purposes.</w:t>
      </w:r>
    </w:p>
    <w:p>
      <w:pPr>
        <w:pStyle w:val="ListParagraph"/>
        <w:numPr>
          <w:ilvl w:val="0"/>
          <w:numId w:val="2"/>
        </w:numPr>
        <w:spacing w:after="80"/>
      </w:pPr>
      <w:r>
        <w:t xml:space="preserve">Anomaly detection on access patterns (logins from unusual locations, bulk downloads, etc.).</w:t>
      </w:r>
    </w:p>
    <w:p>
      <w:pPr>
        <w:pStyle w:val="Heading2"/>
      </w:pPr>
      <w:r>
        <w:t xml:space="preserve">9.5 Operational Security</w:t>
      </w:r>
    </w:p>
    <w:p>
      <w:pPr>
        <w:pStyle w:val="ListParagraph"/>
        <w:numPr>
          <w:ilvl w:val="0"/>
          <w:numId w:val="2"/>
        </w:numPr>
        <w:spacing w:after="80"/>
      </w:pPr>
      <w:r>
        <w:t xml:space="preserve">Annual third-party penetration testing.</w:t>
      </w:r>
    </w:p>
    <w:p>
      <w:pPr>
        <w:pStyle w:val="ListParagraph"/>
        <w:numPr>
          <w:ilvl w:val="0"/>
          <w:numId w:val="2"/>
        </w:numPr>
        <w:spacing w:after="80"/>
      </w:pPr>
      <w:r>
        <w:t xml:space="preserve">Quarterly vulnerability scanning.</w:t>
      </w:r>
    </w:p>
    <w:p>
      <w:pPr>
        <w:pStyle w:val="ListParagraph"/>
        <w:numPr>
          <w:ilvl w:val="0"/>
          <w:numId w:val="2"/>
        </w:numPr>
        <w:spacing w:after="80"/>
      </w:pPr>
      <w:r>
        <w:t xml:space="preserve">Automated dependency scanning in CI/CD.</w:t>
      </w:r>
    </w:p>
    <w:p>
      <w:pPr>
        <w:pStyle w:val="ListParagraph"/>
        <w:numPr>
          <w:ilvl w:val="0"/>
          <w:numId w:val="2"/>
        </w:numPr>
        <w:spacing w:after="80"/>
      </w:pPr>
      <w:r>
        <w:t xml:space="preserve">Secrets management via vault solution (no secrets in code).</w:t>
      </w:r>
    </w:p>
    <w:p>
      <w:pPr>
        <w:pStyle w:val="ListParagraph"/>
        <w:numPr>
          <w:ilvl w:val="0"/>
          <w:numId w:val="2"/>
        </w:numPr>
        <w:spacing w:after="80"/>
      </w:pPr>
      <w:r>
        <w:t xml:space="preserve">Production access controlled and logged. No shared credentials.</w:t>
      </w:r>
    </w:p>
    <w:p>
      <w:pPr>
        <w:pStyle w:val="ListParagraph"/>
        <w:numPr>
          <w:ilvl w:val="0"/>
          <w:numId w:val="2"/>
        </w:numPr>
        <w:spacing w:after="80"/>
      </w:pPr>
      <w:r>
        <w:t xml:space="preserve">Documented incident response plan.</w:t>
      </w:r>
    </w:p>
    <w:p>
      <w:pPr>
        <w:pStyle w:val="ListParagraph"/>
        <w:numPr>
          <w:ilvl w:val="0"/>
          <w:numId w:val="2"/>
        </w:numPr>
        <w:spacing w:after="80"/>
      </w:pPr>
      <w:r>
        <w:t xml:space="preserve">Documented data breach notification procedure.</w:t>
      </w:r>
    </w:p>
    <w:p>
      <w:pPr>
        <w:pStyle w:val="Heading2"/>
      </w:pPr>
      <w:r>
        <w:t xml:space="preserve">9.6 Client-Side Security</w:t>
      </w:r>
    </w:p>
    <w:p>
      <w:pPr>
        <w:pStyle w:val="ListParagraph"/>
        <w:numPr>
          <w:ilvl w:val="0"/>
          <w:numId w:val="2"/>
        </w:numPr>
        <w:spacing w:after="80"/>
      </w:pPr>
      <w:r>
        <w:t xml:space="preserve">Magic links expire and are single-use or time-limited.</w:t>
      </w:r>
    </w:p>
    <w:p>
      <w:pPr>
        <w:pStyle w:val="ListParagraph"/>
        <w:numPr>
          <w:ilvl w:val="0"/>
          <w:numId w:val="2"/>
        </w:numPr>
        <w:spacing w:after="80"/>
      </w:pPr>
      <w:r>
        <w:t xml:space="preserve">Document uploads scanned for malware.</w:t>
      </w:r>
    </w:p>
    <w:p>
      <w:pPr>
        <w:pStyle w:val="ListParagraph"/>
        <w:numPr>
          <w:ilvl w:val="0"/>
          <w:numId w:val="2"/>
        </w:numPr>
        <w:spacing w:after="80"/>
      </w:pPr>
      <w:r>
        <w:t xml:space="preserve">Rate limiting on all client-facing endpoints.</w:t>
      </w:r>
    </w:p>
    <w:p>
      <w:pPr>
        <w:pStyle w:val="ListParagraph"/>
        <w:numPr>
          <w:ilvl w:val="0"/>
          <w:numId w:val="2"/>
        </w:numPr>
        <w:spacing w:after="80"/>
      </w:pPr>
      <w:r>
        <w:t xml:space="preserve">CAPTCHA or equivalent on public-facing forms.</w:t>
      </w:r>
    </w:p>
    <w:p>
      <w:r>
        <w:br w:type="page"/>
      </w:r>
    </w:p>
    <w:p>
      <w:pPr>
        <w:pStyle w:val="Heading1"/>
      </w:pPr>
      <w:r>
        <w:t xml:space="preserve">10. Integrations</w:t>
      </w:r>
    </w:p>
    <w:p>
      <w:pPr>
        <w:spacing w:after="120"/>
      </w:pPr>
      <w:r>
        <w:t xml:space="preserve">Phase 1 must integrate with the firms existing tax software ecosystem and a small set of supporting tools. Drake is the highest priority because of Phase 2.</w:t>
      </w:r>
    </w:p>
    <w:p>
      <w:pPr>
        <w:pStyle w:val="Heading2"/>
      </w:pPr>
      <w:r>
        <w:t xml:space="preserve">10.1 Tax Software (Priority Ranking)</w:t>
      </w:r>
    </w:p>
    <w:p>
      <w:pPr>
        <w:pStyle w:val="ListParagraph"/>
        <w:numPr>
          <w:ilvl w:val="0"/>
          <w:numId w:val="2"/>
        </w:numPr>
        <w:spacing w:after="80"/>
      </w:pPr>
      <w:r>
        <w:rPr>
          <w:b/>
          <w:bCs/>
        </w:rPr>
        <w:t xml:space="preserve">P0 (must have at launch): </w:t>
      </w:r>
      <w:r>
        <w:t xml:space="preserve">Drake Tax.</w:t>
      </w:r>
    </w:p>
    <w:p>
      <w:pPr>
        <w:pStyle w:val="ListParagraph"/>
        <w:numPr>
          <w:ilvl w:val="0"/>
          <w:numId w:val="2"/>
        </w:numPr>
        <w:spacing w:after="80"/>
      </w:pPr>
      <w:r>
        <w:rPr>
          <w:b/>
          <w:bCs/>
        </w:rPr>
        <w:t xml:space="preserve">P1 (must have within 6 months): </w:t>
      </w:r>
      <w:r>
        <w:t xml:space="preserve">UltraTax, Lacerte, CCH Axcess, ProSeries.</w:t>
      </w:r>
    </w:p>
    <w:p>
      <w:pPr>
        <w:pStyle w:val="ListParagraph"/>
        <w:numPr>
          <w:ilvl w:val="0"/>
          <w:numId w:val="2"/>
        </w:numPr>
        <w:spacing w:after="80"/>
      </w:pPr>
      <w:r>
        <w:rPr>
          <w:b/>
          <w:bCs/>
        </w:rPr>
        <w:t xml:space="preserve">P2 (nice to have): </w:t>
      </w:r>
      <w:r>
        <w:t xml:space="preserve">CCH ProSystem fx, ProConnect, ATX, GoSystem.</w:t>
      </w:r>
    </w:p>
    <w:p>
      <w:pPr>
        <w:pStyle w:val="Heading2"/>
      </w:pPr>
      <w:r>
        <w:t xml:space="preserve">10.2 Drake-Specific Requirements (P0)</w:t>
      </w:r>
    </w:p>
    <w:p>
      <w:pPr>
        <w:pStyle w:val="ListParagraph"/>
        <w:numPr>
          <w:ilvl w:val="0"/>
          <w:numId w:val="2"/>
        </w:numPr>
        <w:spacing w:after="80"/>
      </w:pPr>
      <w:r>
        <w:t xml:space="preserve">Import a Drake backup file to create contacts, entities, and projects for the current year based on prior-year data.</w:t>
      </w:r>
    </w:p>
    <w:p>
      <w:pPr>
        <w:pStyle w:val="ListParagraph"/>
        <w:numPr>
          <w:ilvl w:val="0"/>
          <w:numId w:val="2"/>
        </w:numPr>
        <w:spacing w:after="80"/>
      </w:pPr>
      <w:r>
        <w:t xml:space="preserve">Map prior-year line items, dependents, income sources, and entity structures into the new project.</w:t>
      </w:r>
    </w:p>
    <w:p>
      <w:pPr>
        <w:pStyle w:val="ListParagraph"/>
        <w:numPr>
          <w:ilvl w:val="0"/>
          <w:numId w:val="2"/>
        </w:numPr>
        <w:spacing w:after="80"/>
      </w:pPr>
      <w:r>
        <w:t xml:space="preserve">Export a completed return as needed for Drake to consume (Phase 2 will expand this significantly).</w:t>
      </w:r>
    </w:p>
    <w:p>
      <w:pPr>
        <w:pStyle w:val="Heading2"/>
      </w:pPr>
      <w:r>
        <w:t xml:space="preserve">10.3 Supporting Tools (Existing SaganFG Stack)</w:t>
      </w:r>
    </w:p>
    <w:p>
      <w:pPr>
        <w:pStyle w:val="ListParagraph"/>
        <w:numPr>
          <w:ilvl w:val="0"/>
          <w:numId w:val="2"/>
        </w:numPr>
        <w:spacing w:after="80"/>
      </w:pPr>
      <w:r>
        <w:rPr>
          <w:b/>
          <w:bCs/>
        </w:rPr>
        <w:t xml:space="preserve">Zoho CRM: </w:t>
      </w:r>
      <w:r>
        <w:t xml:space="preserve">Two-way sync of client contacts and entities.</w:t>
      </w:r>
    </w:p>
    <w:p>
      <w:pPr>
        <w:pStyle w:val="ListParagraph"/>
        <w:numPr>
          <w:ilvl w:val="0"/>
          <w:numId w:val="2"/>
        </w:numPr>
        <w:spacing w:after="80"/>
      </w:pPr>
      <w:r>
        <w:rPr>
          <w:b/>
          <w:bCs/>
        </w:rPr>
        <w:t xml:space="preserve">Zoho Mail: </w:t>
      </w:r>
      <w:r>
        <w:t xml:space="preserve">Email send/receive for AI assistant and notifications.</w:t>
      </w:r>
    </w:p>
    <w:p>
      <w:pPr>
        <w:pStyle w:val="ListParagraph"/>
        <w:numPr>
          <w:ilvl w:val="0"/>
          <w:numId w:val="2"/>
        </w:numPr>
        <w:spacing w:after="80"/>
      </w:pPr>
      <w:r>
        <w:rPr>
          <w:b/>
          <w:bCs/>
        </w:rPr>
        <w:t xml:space="preserve">Zoho WorkDrive: </w:t>
      </w:r>
      <w:r>
        <w:t xml:space="preserve">Read access to existing client document folders.</w:t>
      </w:r>
    </w:p>
    <w:p>
      <w:pPr>
        <w:pStyle w:val="ListParagraph"/>
        <w:numPr>
          <w:ilvl w:val="0"/>
          <w:numId w:val="2"/>
        </w:numPr>
        <w:spacing w:after="80"/>
      </w:pPr>
      <w:r>
        <w:rPr>
          <w:b/>
          <w:bCs/>
        </w:rPr>
        <w:t xml:space="preserve">Zoom Phone: </w:t>
      </w:r>
      <w:r>
        <w:t xml:space="preserve">Optional integration for call logs tied to clients.</w:t>
      </w:r>
    </w:p>
    <w:p>
      <w:pPr>
        <w:pStyle w:val="Heading2"/>
      </w:pPr>
      <w:r>
        <w:t xml:space="preserve">10.4 Payment Processors</w:t>
      </w:r>
    </w:p>
    <w:p>
      <w:pPr>
        <w:pStyle w:val="ListParagraph"/>
        <w:numPr>
          <w:ilvl w:val="0"/>
          <w:numId w:val="2"/>
        </w:numPr>
        <w:spacing w:after="80"/>
      </w:pPr>
      <w:r>
        <w:t xml:space="preserve">Stripe (primary).</w:t>
      </w:r>
    </w:p>
    <w:p>
      <w:pPr>
        <w:pStyle w:val="ListParagraph"/>
        <w:numPr>
          <w:ilvl w:val="0"/>
          <w:numId w:val="2"/>
        </w:numPr>
        <w:spacing w:after="80"/>
      </w:pPr>
      <w:r>
        <w:t xml:space="preserve">Authorize.net or equivalent (secondary).</w:t>
      </w:r>
    </w:p>
    <w:p>
      <w:pPr>
        <w:pStyle w:val="Heading2"/>
      </w:pPr>
      <w:r>
        <w:t xml:space="preserve">10.5 Email Providers</w:t>
      </w:r>
    </w:p>
    <w:p>
      <w:pPr>
        <w:pStyle w:val="ListParagraph"/>
        <w:numPr>
          <w:ilvl w:val="0"/>
          <w:numId w:val="2"/>
        </w:numPr>
        <w:spacing w:after="80"/>
      </w:pPr>
      <w:r>
        <w:t xml:space="preserve">Zoho Mail (primary).</w:t>
      </w:r>
    </w:p>
    <w:p>
      <w:pPr>
        <w:pStyle w:val="ListParagraph"/>
        <w:numPr>
          <w:ilvl w:val="0"/>
          <w:numId w:val="2"/>
        </w:numPr>
        <w:spacing w:after="80"/>
      </w:pPr>
      <w:r>
        <w:t xml:space="preserve">Generic IMAP/SMTP for other providers.</w:t>
      </w:r>
    </w:p>
    <w:p>
      <w:pPr>
        <w:pStyle w:val="ListParagraph"/>
        <w:numPr>
          <w:ilvl w:val="0"/>
          <w:numId w:val="2"/>
        </w:numPr>
        <w:spacing w:after="80"/>
      </w:pPr>
      <w:r>
        <w:t xml:space="preserve">Microsoft 365 and Google Workspace support strongly preferred.</w:t>
      </w:r>
    </w:p>
    <w:p>
      <w:pPr>
        <w:pStyle w:val="Heading2"/>
      </w:pPr>
      <w:r>
        <w:t xml:space="preserve">10.6 General Integration Architecture</w:t>
      </w:r>
    </w:p>
    <w:p>
      <w:pPr>
        <w:pStyle w:val="ListParagraph"/>
        <w:numPr>
          <w:ilvl w:val="0"/>
          <w:numId w:val="2"/>
        </w:numPr>
        <w:spacing w:after="80"/>
      </w:pPr>
      <w:r>
        <w:t xml:space="preserve">All third-party integrations behind a clean abstraction layer.</w:t>
      </w:r>
    </w:p>
    <w:p>
      <w:pPr>
        <w:pStyle w:val="ListParagraph"/>
        <w:numPr>
          <w:ilvl w:val="0"/>
          <w:numId w:val="2"/>
        </w:numPr>
        <w:spacing w:after="80"/>
      </w:pPr>
      <w:r>
        <w:t xml:space="preserve">OAuth where available, secure credential storage otherwise.</w:t>
      </w:r>
    </w:p>
    <w:p>
      <w:pPr>
        <w:pStyle w:val="ListParagraph"/>
        <w:numPr>
          <w:ilvl w:val="0"/>
          <w:numId w:val="2"/>
        </w:numPr>
        <w:spacing w:after="80"/>
      </w:pPr>
      <w:r>
        <w:t xml:space="preserve">Webhook support for inbound events from integrated systems.</w:t>
      </w:r>
    </w:p>
    <w:p>
      <w:pPr>
        <w:pStyle w:val="ListParagraph"/>
        <w:numPr>
          <w:ilvl w:val="0"/>
          <w:numId w:val="2"/>
        </w:numPr>
        <w:spacing w:after="80"/>
      </w:pPr>
      <w:r>
        <w:t xml:space="preserve">Public REST API for firms to build their own integrations.</w:t>
      </w:r>
    </w:p>
    <w:p>
      <w:r>
        <w:br w:type="page"/>
      </w:r>
    </w:p>
    <w:p>
      <w:pPr>
        <w:pStyle w:val="Heading1"/>
      </w:pPr>
      <w:r>
        <w:t xml:space="preserve">11. Mobile and Desktop Applications</w:t>
      </w:r>
    </w:p>
    <w:p>
      <w:pPr>
        <w:pStyle w:val="Heading2"/>
      </w:pPr>
      <w:r>
        <w:t xml:space="preserve">11.1 Mobile Scanner App</w:t>
      </w:r>
    </w:p>
    <w:p>
      <w:pPr>
        <w:pStyle w:val="ListParagraph"/>
        <w:numPr>
          <w:ilvl w:val="0"/>
          <w:numId w:val="2"/>
        </w:numPr>
        <w:spacing w:after="80"/>
      </w:pPr>
      <w:r>
        <w:t xml:space="preserve">Native iOS and Android applications.</w:t>
      </w:r>
    </w:p>
    <w:p>
      <w:pPr>
        <w:pStyle w:val="ListParagraph"/>
        <w:numPr>
          <w:ilvl w:val="0"/>
          <w:numId w:val="2"/>
        </w:numPr>
        <w:spacing w:after="80"/>
      </w:pPr>
      <w:r>
        <w:t xml:space="preserve">Camera-based document scanning with edge detection and auto-cropping.</w:t>
      </w:r>
    </w:p>
    <w:p>
      <w:pPr>
        <w:pStyle w:val="ListParagraph"/>
        <w:numPr>
          <w:ilvl w:val="0"/>
          <w:numId w:val="2"/>
        </w:numPr>
        <w:spacing w:after="80"/>
      </w:pPr>
      <w:r>
        <w:t xml:space="preserve">Multi-page scans assembled into one PDF.</w:t>
      </w:r>
    </w:p>
    <w:p>
      <w:pPr>
        <w:pStyle w:val="ListParagraph"/>
        <w:numPr>
          <w:ilvl w:val="0"/>
          <w:numId w:val="2"/>
        </w:numPr>
        <w:spacing w:after="80"/>
      </w:pPr>
      <w:r>
        <w:t xml:space="preserve">Direct upload to a specific project task.</w:t>
      </w:r>
    </w:p>
    <w:p>
      <w:pPr>
        <w:pStyle w:val="ListParagraph"/>
        <w:numPr>
          <w:ilvl w:val="0"/>
          <w:numId w:val="2"/>
        </w:numPr>
        <w:spacing w:after="80"/>
      </w:pPr>
      <w:r>
        <w:t xml:space="preserve">Client-facing version (clients scan their own docs) and firm-facing version (preparers scan office mail).</w:t>
      </w:r>
    </w:p>
    <w:p>
      <w:pPr>
        <w:pStyle w:val="ListParagraph"/>
        <w:numPr>
          <w:ilvl w:val="0"/>
          <w:numId w:val="2"/>
        </w:numPr>
        <w:spacing w:after="80"/>
      </w:pPr>
      <w:r>
        <w:t xml:space="preserve">Offline capture with sync when online.</w:t>
      </w:r>
    </w:p>
    <w:p>
      <w:pPr>
        <w:pStyle w:val="Heading2"/>
      </w:pPr>
      <w:r>
        <w:t xml:space="preserve">11.2 Desktop Application</w:t>
      </w:r>
    </w:p>
    <w:p>
      <w:pPr>
        <w:pStyle w:val="ListParagraph"/>
        <w:numPr>
          <w:ilvl w:val="0"/>
          <w:numId w:val="2"/>
        </w:numPr>
        <w:spacing w:after="80"/>
      </w:pPr>
      <w:r>
        <w:t xml:space="preserve">Native desktop app for Windows and macOS.</w:t>
      </w:r>
    </w:p>
    <w:p>
      <w:pPr>
        <w:pStyle w:val="ListParagraph"/>
        <w:numPr>
          <w:ilvl w:val="0"/>
          <w:numId w:val="2"/>
        </w:numPr>
        <w:spacing w:after="80"/>
      </w:pPr>
      <w:r>
        <w:t xml:space="preserve">Provides faster file access for preparers handling many documents.</w:t>
      </w:r>
    </w:p>
    <w:p>
      <w:pPr>
        <w:pStyle w:val="ListParagraph"/>
        <w:numPr>
          <w:ilvl w:val="0"/>
          <w:numId w:val="2"/>
        </w:numPr>
        <w:spacing w:after="80"/>
      </w:pPr>
      <w:r>
        <w:t xml:space="preserve">Offline workpaper review.</w:t>
      </w:r>
    </w:p>
    <w:p>
      <w:pPr>
        <w:pStyle w:val="ListParagraph"/>
        <w:numPr>
          <w:ilvl w:val="0"/>
          <w:numId w:val="2"/>
        </w:numPr>
        <w:spacing w:after="80"/>
      </w:pPr>
      <w:r>
        <w:t xml:space="preserve">Sync with cloud when online.</w:t>
      </w:r>
    </w:p>
    <w:p>
      <w:pPr>
        <w:pStyle w:val="ListParagraph"/>
        <w:numPr>
          <w:ilvl w:val="0"/>
          <w:numId w:val="2"/>
        </w:numPr>
        <w:spacing w:after="80"/>
      </w:pPr>
      <w:r>
        <w:t xml:space="preserve">Local file drag-and-drop into projects.</w:t>
      </w:r>
    </w:p>
    <w:p>
      <w:pPr>
        <w:pStyle w:val="Heading2"/>
      </w:pPr>
      <w:r>
        <w:t xml:space="preserve">11.3 Responsive Web</w:t>
      </w:r>
    </w:p>
    <w:p>
      <w:pPr>
        <w:pStyle w:val="ListParagraph"/>
        <w:numPr>
          <w:ilvl w:val="0"/>
          <w:numId w:val="2"/>
        </w:numPr>
        <w:spacing w:after="80"/>
      </w:pPr>
      <w:r>
        <w:t xml:space="preserve">Full web application responsive to tablet and mobile browsers.</w:t>
      </w:r>
    </w:p>
    <w:p>
      <w:pPr>
        <w:pStyle w:val="ListParagraph"/>
        <w:numPr>
          <w:ilvl w:val="0"/>
          <w:numId w:val="2"/>
        </w:numPr>
        <w:spacing w:after="80"/>
      </w:pPr>
      <w:r>
        <w:t xml:space="preserve">Touch-optimized annotation tools for tablet review.</w:t>
      </w:r>
    </w:p>
    <w:p>
      <w:r>
        <w:br w:type="page"/>
      </w:r>
    </w:p>
    <w:p>
      <w:pPr>
        <w:pStyle w:val="Heading1"/>
      </w:pPr>
      <w:r>
        <w:t xml:space="preserve">12. Notifications and Communication</w:t>
      </w:r>
    </w:p>
    <w:p>
      <w:pPr>
        <w:pStyle w:val="Heading2"/>
      </w:pPr>
      <w:r>
        <w:t xml:space="preserve">12.1 Notifications Inbox</w:t>
      </w:r>
    </w:p>
    <w:p>
      <w:pPr>
        <w:pStyle w:val="ListParagraph"/>
        <w:numPr>
          <w:ilvl w:val="0"/>
          <w:numId w:val="2"/>
        </w:numPr>
        <w:spacing w:after="80"/>
      </w:pPr>
      <w:r>
        <w:t xml:space="preserve">Unified inbox for all platform notifications.</w:t>
      </w:r>
    </w:p>
    <w:p>
      <w:pPr>
        <w:pStyle w:val="ListParagraph"/>
        <w:numPr>
          <w:ilvl w:val="0"/>
          <w:numId w:val="2"/>
        </w:numPr>
        <w:spacing w:after="80"/>
      </w:pPr>
      <w:r>
        <w:t xml:space="preserve">Categories: uploads, tasks, comments, signatures, invoices, system alerts.</w:t>
      </w:r>
    </w:p>
    <w:p>
      <w:pPr>
        <w:pStyle w:val="ListParagraph"/>
        <w:numPr>
          <w:ilvl w:val="0"/>
          <w:numId w:val="2"/>
        </w:numPr>
        <w:spacing w:after="80"/>
      </w:pPr>
      <w:r>
        <w:t xml:space="preserve">Filter and mark-read controls.</w:t>
      </w:r>
    </w:p>
    <w:p>
      <w:pPr>
        <w:pStyle w:val="ListParagraph"/>
        <w:numPr>
          <w:ilvl w:val="0"/>
          <w:numId w:val="2"/>
        </w:numPr>
        <w:spacing w:after="80"/>
      </w:pPr>
      <w:r>
        <w:t xml:space="preserve">Snooze and assign-to-other-user.</w:t>
      </w:r>
    </w:p>
    <w:p>
      <w:pPr>
        <w:pStyle w:val="Heading2"/>
      </w:pPr>
      <w:r>
        <w:t xml:space="preserve">12.2 Automated Client Nudges</w:t>
      </w:r>
    </w:p>
    <w:p>
      <w:pPr>
        <w:pStyle w:val="ListParagraph"/>
        <w:numPr>
          <w:ilvl w:val="0"/>
          <w:numId w:val="2"/>
        </w:numPr>
        <w:spacing w:after="80"/>
      </w:pPr>
      <w:r>
        <w:t xml:space="preserve">Configurable nudge cadence for outstanding intake items, unsigned engagement letters, unsigned 8879s, and unpaid invoices.</w:t>
      </w:r>
    </w:p>
    <w:p>
      <w:pPr>
        <w:pStyle w:val="ListParagraph"/>
        <w:numPr>
          <w:ilvl w:val="0"/>
          <w:numId w:val="2"/>
        </w:numPr>
        <w:spacing w:after="80"/>
      </w:pPr>
      <w:r>
        <w:t xml:space="preserve">Per-firm tone and templates.</w:t>
      </w:r>
    </w:p>
    <w:p>
      <w:pPr>
        <w:pStyle w:val="ListParagraph"/>
        <w:numPr>
          <w:ilvl w:val="0"/>
          <w:numId w:val="2"/>
        </w:numPr>
        <w:spacing w:after="80"/>
      </w:pPr>
      <w:r>
        <w:t xml:space="preserve">Pause and skip options for individual clients.</w:t>
      </w:r>
    </w:p>
    <w:p>
      <w:pPr>
        <w:pStyle w:val="ListParagraph"/>
        <w:numPr>
          <w:ilvl w:val="0"/>
          <w:numId w:val="2"/>
        </w:numPr>
        <w:spacing w:after="80"/>
      </w:pPr>
      <w:r>
        <w:t xml:space="preserve">Stop sending once item is complete.</w:t>
      </w:r>
    </w:p>
    <w:p>
      <w:pPr>
        <w:pStyle w:val="Heading2"/>
      </w:pPr>
      <w:r>
        <w:t xml:space="preserve">12.3 Internal Collaboration</w:t>
      </w:r>
    </w:p>
    <w:p>
      <w:pPr>
        <w:pStyle w:val="ListParagraph"/>
        <w:numPr>
          <w:ilvl w:val="0"/>
          <w:numId w:val="2"/>
        </w:numPr>
        <w:spacing w:after="80"/>
      </w:pPr>
      <w:r>
        <w:t xml:space="preserve">Comments and @-mentions on projects, tasks, and documents.</w:t>
      </w:r>
    </w:p>
    <w:p>
      <w:pPr>
        <w:pStyle w:val="ListParagraph"/>
        <w:numPr>
          <w:ilvl w:val="0"/>
          <w:numId w:val="2"/>
        </w:numPr>
        <w:spacing w:after="80"/>
      </w:pPr>
      <w:r>
        <w:t xml:space="preserve">Internal notes visible to firm only, never to client.</w:t>
      </w:r>
    </w:p>
    <w:p>
      <w:pPr>
        <w:pStyle w:val="ListParagraph"/>
        <w:numPr>
          <w:ilvl w:val="0"/>
          <w:numId w:val="2"/>
        </w:numPr>
        <w:spacing w:after="80"/>
      </w:pPr>
      <w:r>
        <w:t xml:space="preserve">Activity feed per project.</w:t>
      </w:r>
    </w:p>
    <w:p>
      <w:pPr>
        <w:pStyle w:val="Heading2"/>
      </w:pPr>
      <w:r>
        <w:t xml:space="preserve">12.4 Delivery Channels</w:t>
      </w:r>
    </w:p>
    <w:p>
      <w:pPr>
        <w:pStyle w:val="ListParagraph"/>
        <w:numPr>
          <w:ilvl w:val="0"/>
          <w:numId w:val="2"/>
        </w:numPr>
        <w:spacing w:after="80"/>
      </w:pPr>
      <w:r>
        <w:t xml:space="preserve">In-app notifications.</w:t>
      </w:r>
    </w:p>
    <w:p>
      <w:pPr>
        <w:pStyle w:val="ListParagraph"/>
        <w:numPr>
          <w:ilvl w:val="0"/>
          <w:numId w:val="2"/>
        </w:numPr>
        <w:spacing w:after="80"/>
      </w:pPr>
      <w:r>
        <w:t xml:space="preserve">Email notifications.</w:t>
      </w:r>
    </w:p>
    <w:p>
      <w:pPr>
        <w:pStyle w:val="ListParagraph"/>
        <w:numPr>
          <w:ilvl w:val="0"/>
          <w:numId w:val="2"/>
        </w:numPr>
        <w:spacing w:after="80"/>
      </w:pPr>
      <w:r>
        <w:t xml:space="preserve">SMS notifications (optional, configurable).</w:t>
      </w:r>
    </w:p>
    <w:p>
      <w:pPr>
        <w:pStyle w:val="ListParagraph"/>
        <w:numPr>
          <w:ilvl w:val="0"/>
          <w:numId w:val="2"/>
        </w:numPr>
        <w:spacing w:after="80"/>
      </w:pPr>
      <w:r>
        <w:t xml:space="preserve">Push notifications on mobile app.</w:t>
      </w:r>
    </w:p>
    <w:p>
      <w:r>
        <w:br w:type="page"/>
      </w:r>
    </w:p>
    <w:p>
      <w:pPr>
        <w:pStyle w:val="Heading1"/>
      </w:pPr>
      <w:r>
        <w:t xml:space="preserve">13. Architecture Requirements</w:t>
      </w:r>
    </w:p>
    <w:p>
      <w:pPr>
        <w:pStyle w:val="Heading2"/>
      </w:pPr>
      <w:r>
        <w:t xml:space="preserve">13.1 Multi-Tenancy</w:t>
      </w:r>
    </w:p>
    <w:p>
      <w:pPr>
        <w:pStyle w:val="ListParagraph"/>
        <w:numPr>
          <w:ilvl w:val="0"/>
          <w:numId w:val="2"/>
        </w:numPr>
        <w:spacing w:after="80"/>
      </w:pPr>
      <w:r>
        <w:t xml:space="preserve">Firm-level tenant isolation from day one.</w:t>
      </w:r>
    </w:p>
    <w:p>
      <w:pPr>
        <w:pStyle w:val="ListParagraph"/>
        <w:numPr>
          <w:ilvl w:val="0"/>
          <w:numId w:val="2"/>
        </w:numPr>
        <w:spacing w:after="80"/>
      </w:pPr>
      <w:r>
        <w:t xml:space="preserve">No data leakage between firm tenants under any circumstance.</w:t>
      </w:r>
    </w:p>
    <w:p>
      <w:pPr>
        <w:pStyle w:val="ListParagraph"/>
        <w:numPr>
          <w:ilvl w:val="0"/>
          <w:numId w:val="2"/>
        </w:numPr>
        <w:spacing w:after="80"/>
      </w:pPr>
      <w:r>
        <w:t xml:space="preserve">Designed to scale to thousands of firm tenants.</w:t>
      </w:r>
    </w:p>
    <w:p>
      <w:pPr>
        <w:pStyle w:val="ListParagraph"/>
        <w:numPr>
          <w:ilvl w:val="0"/>
          <w:numId w:val="2"/>
        </w:numPr>
        <w:spacing w:after="80"/>
      </w:pPr>
      <w:r>
        <w:t xml:space="preserve">Per-tenant configuration for branding, integrations, workflow templates, user roles.</w:t>
      </w:r>
    </w:p>
    <w:p>
      <w:pPr>
        <w:pStyle w:val="Heading2"/>
      </w:pPr>
      <w:r>
        <w:t xml:space="preserve">13.2 API-First Design</w:t>
      </w:r>
    </w:p>
    <w:p>
      <w:pPr>
        <w:pStyle w:val="ListParagraph"/>
        <w:numPr>
          <w:ilvl w:val="0"/>
          <w:numId w:val="2"/>
        </w:numPr>
        <w:spacing w:after="80"/>
      </w:pPr>
      <w:r>
        <w:t xml:space="preserve">All platform functionality exposed via internal REST or GraphQL APIs.</w:t>
      </w:r>
    </w:p>
    <w:p>
      <w:pPr>
        <w:pStyle w:val="ListParagraph"/>
        <w:numPr>
          <w:ilvl w:val="0"/>
          <w:numId w:val="2"/>
        </w:numPr>
        <w:spacing w:after="80"/>
      </w:pPr>
      <w:r>
        <w:t xml:space="preserve">Public API for firms to build their own integrations.</w:t>
      </w:r>
    </w:p>
    <w:p>
      <w:pPr>
        <w:pStyle w:val="ListParagraph"/>
        <w:numPr>
          <w:ilvl w:val="0"/>
          <w:numId w:val="2"/>
        </w:numPr>
        <w:spacing w:after="80"/>
      </w:pPr>
      <w:r>
        <w:t xml:space="preserve">Webhooks for outbound events.</w:t>
      </w:r>
    </w:p>
    <w:p>
      <w:pPr>
        <w:pStyle w:val="ListParagraph"/>
        <w:numPr>
          <w:ilvl w:val="0"/>
          <w:numId w:val="2"/>
        </w:numPr>
        <w:spacing w:after="80"/>
      </w:pPr>
      <w:r>
        <w:t xml:space="preserve">Versioned API contracts.</w:t>
      </w:r>
    </w:p>
    <w:p>
      <w:pPr>
        <w:pStyle w:val="Heading2"/>
      </w:pPr>
      <w:r>
        <w:t xml:space="preserve">13.3 Scalability</w:t>
      </w:r>
    </w:p>
    <w:p>
      <w:pPr>
        <w:pStyle w:val="ListParagraph"/>
        <w:numPr>
          <w:ilvl w:val="0"/>
          <w:numId w:val="2"/>
        </w:numPr>
        <w:spacing w:after="80"/>
      </w:pPr>
      <w:r>
        <w:t xml:space="preserve">Stateless application tier for horizontal scaling.</w:t>
      </w:r>
    </w:p>
    <w:p>
      <w:pPr>
        <w:pStyle w:val="ListParagraph"/>
        <w:numPr>
          <w:ilvl w:val="0"/>
          <w:numId w:val="2"/>
        </w:numPr>
        <w:spacing w:after="80"/>
      </w:pPr>
      <w:r>
        <w:t xml:space="preserve">Background job queue for long-running tasks (document processing, AI calls, email sending).</w:t>
      </w:r>
    </w:p>
    <w:p>
      <w:pPr>
        <w:pStyle w:val="ListParagraph"/>
        <w:numPr>
          <w:ilvl w:val="0"/>
          <w:numId w:val="2"/>
        </w:numPr>
        <w:spacing w:after="80"/>
      </w:pPr>
      <w:r>
        <w:t xml:space="preserve">Object storage for documents (S3 or equivalent).</w:t>
      </w:r>
    </w:p>
    <w:p>
      <w:pPr>
        <w:pStyle w:val="ListParagraph"/>
        <w:numPr>
          <w:ilvl w:val="0"/>
          <w:numId w:val="2"/>
        </w:numPr>
        <w:spacing w:after="80"/>
      </w:pPr>
      <w:r>
        <w:t xml:space="preserve">Relational database for transactional data.</w:t>
      </w:r>
    </w:p>
    <w:p>
      <w:pPr>
        <w:pStyle w:val="ListParagraph"/>
        <w:numPr>
          <w:ilvl w:val="0"/>
          <w:numId w:val="2"/>
        </w:numPr>
        <w:spacing w:after="80"/>
      </w:pPr>
      <w:r>
        <w:t xml:space="preserve">Search index for document content (Elasticsearch, OpenSearch, or equivalent).</w:t>
      </w:r>
    </w:p>
    <w:p>
      <w:pPr>
        <w:pStyle w:val="Heading2"/>
      </w:pPr>
      <w:r>
        <w:t xml:space="preserve">13.4 Deployment and DevOps</w:t>
      </w:r>
    </w:p>
    <w:p>
      <w:pPr>
        <w:pStyle w:val="ListParagraph"/>
        <w:numPr>
          <w:ilvl w:val="0"/>
          <w:numId w:val="2"/>
        </w:numPr>
        <w:spacing w:after="80"/>
      </w:pPr>
      <w:r>
        <w:t xml:space="preserve">Hosted on a major US cloud provider (AWS, GCP, or Azure).</w:t>
      </w:r>
    </w:p>
    <w:p>
      <w:pPr>
        <w:pStyle w:val="ListParagraph"/>
        <w:numPr>
          <w:ilvl w:val="0"/>
          <w:numId w:val="2"/>
        </w:numPr>
        <w:spacing w:after="80"/>
      </w:pPr>
      <w:r>
        <w:t xml:space="preserve">Infrastructure as code (Terraform, CloudFormation, or equivalent).</w:t>
      </w:r>
    </w:p>
    <w:p>
      <w:pPr>
        <w:pStyle w:val="ListParagraph"/>
        <w:numPr>
          <w:ilvl w:val="0"/>
          <w:numId w:val="2"/>
        </w:numPr>
        <w:spacing w:after="80"/>
      </w:pPr>
      <w:r>
        <w:t xml:space="preserve">CI/CD pipeline with automated tests.</w:t>
      </w:r>
    </w:p>
    <w:p>
      <w:pPr>
        <w:pStyle w:val="ListParagraph"/>
        <w:numPr>
          <w:ilvl w:val="0"/>
          <w:numId w:val="2"/>
        </w:numPr>
        <w:spacing w:after="80"/>
      </w:pPr>
      <w:r>
        <w:t xml:space="preserve">Staging and production environments.</w:t>
      </w:r>
    </w:p>
    <w:p>
      <w:pPr>
        <w:pStyle w:val="ListParagraph"/>
        <w:numPr>
          <w:ilvl w:val="0"/>
          <w:numId w:val="2"/>
        </w:numPr>
        <w:spacing w:after="80"/>
      </w:pPr>
      <w:r>
        <w:t xml:space="preserve">Automated database migrations.</w:t>
      </w:r>
    </w:p>
    <w:p>
      <w:pPr>
        <w:pStyle w:val="ListParagraph"/>
        <w:numPr>
          <w:ilvl w:val="0"/>
          <w:numId w:val="2"/>
        </w:numPr>
        <w:spacing w:after="80"/>
      </w:pPr>
      <w:r>
        <w:t xml:space="preserve">Blue/green or canary deployment.</w:t>
      </w:r>
    </w:p>
    <w:p>
      <w:pPr>
        <w:pStyle w:val="Heading2"/>
      </w:pPr>
      <w:r>
        <w:t xml:space="preserve">13.5 Observability</w:t>
      </w:r>
    </w:p>
    <w:p>
      <w:pPr>
        <w:pStyle w:val="ListParagraph"/>
        <w:numPr>
          <w:ilvl w:val="0"/>
          <w:numId w:val="2"/>
        </w:numPr>
        <w:spacing w:after="80"/>
      </w:pPr>
      <w:r>
        <w:t xml:space="preserve">Centralized logging.</w:t>
      </w:r>
    </w:p>
    <w:p>
      <w:pPr>
        <w:pStyle w:val="ListParagraph"/>
        <w:numPr>
          <w:ilvl w:val="0"/>
          <w:numId w:val="2"/>
        </w:numPr>
        <w:spacing w:after="80"/>
      </w:pPr>
      <w:r>
        <w:t xml:space="preserve">Application performance monitoring.</w:t>
      </w:r>
    </w:p>
    <w:p>
      <w:pPr>
        <w:pStyle w:val="ListParagraph"/>
        <w:numPr>
          <w:ilvl w:val="0"/>
          <w:numId w:val="2"/>
        </w:numPr>
        <w:spacing w:after="80"/>
      </w:pPr>
      <w:r>
        <w:t xml:space="preserve">Error tracking and alerting.</w:t>
      </w:r>
    </w:p>
    <w:p>
      <w:pPr>
        <w:pStyle w:val="ListParagraph"/>
        <w:numPr>
          <w:ilvl w:val="0"/>
          <w:numId w:val="2"/>
        </w:numPr>
        <w:spacing w:after="80"/>
      </w:pPr>
      <w:r>
        <w:t xml:space="preserve">Uptime monitoring with status page.</w:t>
      </w:r>
    </w:p>
    <w:p>
      <w:r>
        <w:br w:type="page"/>
      </w:r>
    </w:p>
    <w:p>
      <w:pPr>
        <w:pStyle w:val="Heading1"/>
      </w:pPr>
      <w:r>
        <w:t xml:space="preserve">14. Branding and White-Label</w:t>
      </w:r>
    </w:p>
    <w:p>
      <w:pPr>
        <w:spacing w:after="120"/>
      </w:pPr>
      <w:r>
        <w:t xml:space="preserve">Phase 1 will be used by Sagan Financial Group internally. Phase 2 and Phase 3 prepare the platform to be sold to other firms. Branding architecture should anticipate this from day one.</w:t>
      </w:r>
    </w:p>
    <w:p>
      <w:pPr>
        <w:pStyle w:val="ListParagraph"/>
        <w:numPr>
          <w:ilvl w:val="0"/>
          <w:numId w:val="2"/>
        </w:numPr>
        <w:spacing w:after="80"/>
      </w:pPr>
      <w:r>
        <w:t xml:space="preserve">Per-firm logo, color, and font configuration.</w:t>
      </w:r>
    </w:p>
    <w:p>
      <w:pPr>
        <w:pStyle w:val="ListParagraph"/>
        <w:numPr>
          <w:ilvl w:val="0"/>
          <w:numId w:val="2"/>
        </w:numPr>
        <w:spacing w:after="80"/>
      </w:pPr>
      <w:r>
        <w:t xml:space="preserve">Per-firm sender name and email domain for client communications.</w:t>
      </w:r>
    </w:p>
    <w:p>
      <w:pPr>
        <w:pStyle w:val="ListParagraph"/>
        <w:numPr>
          <w:ilvl w:val="0"/>
          <w:numId w:val="2"/>
        </w:numPr>
        <w:spacing w:after="80"/>
      </w:pPr>
      <w:r>
        <w:t xml:space="preserve">Per-firm custom domain support (firm.example.com).</w:t>
      </w:r>
    </w:p>
    <w:p>
      <w:pPr>
        <w:pStyle w:val="ListParagraph"/>
        <w:numPr>
          <w:ilvl w:val="0"/>
          <w:numId w:val="2"/>
        </w:numPr>
        <w:spacing w:after="80"/>
      </w:pPr>
      <w:r>
        <w:t xml:space="preserve">Per-firm email templates.</w:t>
      </w:r>
    </w:p>
    <w:p>
      <w:pPr>
        <w:pStyle w:val="ListParagraph"/>
        <w:numPr>
          <w:ilvl w:val="0"/>
          <w:numId w:val="2"/>
        </w:numPr>
        <w:spacing w:after="80"/>
      </w:pPr>
      <w:r>
        <w:t xml:space="preserve">Future-ready white-label mode (platform name hidden, firm name surfaced).</w:t>
      </w:r>
    </w:p>
    <w:p>
      <w:r>
        <w:br w:type="page"/>
      </w:r>
    </w:p>
    <w:p>
      <w:pPr>
        <w:pStyle w:val="Heading1"/>
      </w:pPr>
      <w:r>
        <w:t xml:space="preserve">15. Deliverables and Acceptance</w:t>
      </w:r>
    </w:p>
    <w:p>
      <w:pPr>
        <w:pStyle w:val="Heading2"/>
      </w:pPr>
      <w:r>
        <w:t xml:space="preserve">15.1 Code and Ownership</w:t>
      </w:r>
    </w:p>
    <w:p>
      <w:pPr>
        <w:pStyle w:val="ListParagraph"/>
        <w:numPr>
          <w:ilvl w:val="0"/>
          <w:numId w:val="2"/>
        </w:numPr>
        <w:spacing w:after="80"/>
      </w:pPr>
      <w:r>
        <w:t xml:space="preserve">All source code delivered to SaganFG.</w:t>
      </w:r>
    </w:p>
    <w:p>
      <w:pPr>
        <w:pStyle w:val="ListParagraph"/>
        <w:numPr>
          <w:ilvl w:val="0"/>
          <w:numId w:val="2"/>
        </w:numPr>
        <w:spacing w:after="80"/>
      </w:pPr>
      <w:r>
        <w:t xml:space="preserve">Full intellectual property ownership transferred to SaganFG.</w:t>
      </w:r>
    </w:p>
    <w:p>
      <w:pPr>
        <w:pStyle w:val="ListParagraph"/>
        <w:numPr>
          <w:ilvl w:val="0"/>
          <w:numId w:val="2"/>
        </w:numPr>
        <w:spacing w:after="80"/>
      </w:pPr>
      <w:r>
        <w:t xml:space="preserve">No third-party code with restrictive licenses (no GPL, no AGPL).</w:t>
      </w:r>
    </w:p>
    <w:p>
      <w:pPr>
        <w:pStyle w:val="ListParagraph"/>
        <w:numPr>
          <w:ilvl w:val="0"/>
          <w:numId w:val="2"/>
        </w:numPr>
        <w:spacing w:after="80"/>
      </w:pPr>
      <w:r>
        <w:t xml:space="preserve">Code hosted in a SaganFG-owned Git repository.</w:t>
      </w:r>
    </w:p>
    <w:p>
      <w:pPr>
        <w:pStyle w:val="Heading2"/>
      </w:pPr>
      <w:r>
        <w:t xml:space="preserve">15.2 Documentation</w:t>
      </w:r>
    </w:p>
    <w:p>
      <w:pPr>
        <w:pStyle w:val="ListParagraph"/>
        <w:numPr>
          <w:ilvl w:val="0"/>
          <w:numId w:val="2"/>
        </w:numPr>
        <w:spacing w:after="80"/>
      </w:pPr>
      <w:r>
        <w:t xml:space="preserve">Architecture documentation.</w:t>
      </w:r>
    </w:p>
    <w:p>
      <w:pPr>
        <w:pStyle w:val="ListParagraph"/>
        <w:numPr>
          <w:ilvl w:val="0"/>
          <w:numId w:val="2"/>
        </w:numPr>
        <w:spacing w:after="80"/>
      </w:pPr>
      <w:r>
        <w:t xml:space="preserve">API documentation.</w:t>
      </w:r>
    </w:p>
    <w:p>
      <w:pPr>
        <w:pStyle w:val="ListParagraph"/>
        <w:numPr>
          <w:ilvl w:val="0"/>
          <w:numId w:val="2"/>
        </w:numPr>
        <w:spacing w:after="80"/>
      </w:pPr>
      <w:r>
        <w:t xml:space="preserve">Deployment runbook.</w:t>
      </w:r>
    </w:p>
    <w:p>
      <w:pPr>
        <w:pStyle w:val="ListParagraph"/>
        <w:numPr>
          <w:ilvl w:val="0"/>
          <w:numId w:val="2"/>
        </w:numPr>
        <w:spacing w:after="80"/>
      </w:pPr>
      <w:r>
        <w:t xml:space="preserve">Database schema documentation.</w:t>
      </w:r>
    </w:p>
    <w:p>
      <w:pPr>
        <w:pStyle w:val="ListParagraph"/>
        <w:numPr>
          <w:ilvl w:val="0"/>
          <w:numId w:val="2"/>
        </w:numPr>
        <w:spacing w:after="80"/>
      </w:pPr>
      <w:r>
        <w:t xml:space="preserve">Admin and end-user user guides.</w:t>
      </w:r>
    </w:p>
    <w:p>
      <w:pPr>
        <w:pStyle w:val="Heading2"/>
      </w:pPr>
      <w:r>
        <w:t xml:space="preserve">15.3 Testing</w:t>
      </w:r>
    </w:p>
    <w:p>
      <w:pPr>
        <w:pStyle w:val="ListParagraph"/>
        <w:numPr>
          <w:ilvl w:val="0"/>
          <w:numId w:val="2"/>
        </w:numPr>
        <w:spacing w:after="80"/>
      </w:pPr>
      <w:r>
        <w:t xml:space="preserve">Unit test coverage of business logic.</w:t>
      </w:r>
    </w:p>
    <w:p>
      <w:pPr>
        <w:pStyle w:val="ListParagraph"/>
        <w:numPr>
          <w:ilvl w:val="0"/>
          <w:numId w:val="2"/>
        </w:numPr>
        <w:spacing w:after="80"/>
      </w:pPr>
      <w:r>
        <w:t xml:space="preserve">Integration tests of key workflows.</w:t>
      </w:r>
    </w:p>
    <w:p>
      <w:pPr>
        <w:pStyle w:val="ListParagraph"/>
        <w:numPr>
          <w:ilvl w:val="0"/>
          <w:numId w:val="2"/>
        </w:numPr>
        <w:spacing w:after="80"/>
      </w:pPr>
      <w:r>
        <w:t xml:space="preserve">End-to-end tests of critical paths (intake to delivery).</w:t>
      </w:r>
    </w:p>
    <w:p>
      <w:pPr>
        <w:pStyle w:val="ListParagraph"/>
        <w:numPr>
          <w:ilvl w:val="0"/>
          <w:numId w:val="2"/>
        </w:numPr>
        <w:spacing w:after="80"/>
      </w:pPr>
      <w:r>
        <w:t xml:space="preserve">Security test suite.</w:t>
      </w:r>
    </w:p>
    <w:p>
      <w:pPr>
        <w:pStyle w:val="ListParagraph"/>
        <w:numPr>
          <w:ilvl w:val="0"/>
          <w:numId w:val="2"/>
        </w:numPr>
        <w:spacing w:after="80"/>
      </w:pPr>
      <w:r>
        <w:t xml:space="preserve">Test environment with seeded sample data.</w:t>
      </w:r>
    </w:p>
    <w:p>
      <w:pPr>
        <w:pStyle w:val="Heading2"/>
      </w:pPr>
      <w:r>
        <w:t xml:space="preserve">15.4 Training and Handoff</w:t>
      </w:r>
    </w:p>
    <w:p>
      <w:pPr>
        <w:pStyle w:val="ListParagraph"/>
        <w:numPr>
          <w:ilvl w:val="0"/>
          <w:numId w:val="2"/>
        </w:numPr>
        <w:spacing w:after="80"/>
      </w:pPr>
      <w:r>
        <w:t xml:space="preserve">Developer handoff sessions for SaganFG technical staff.</w:t>
      </w:r>
    </w:p>
    <w:p>
      <w:pPr>
        <w:pStyle w:val="ListParagraph"/>
        <w:numPr>
          <w:ilvl w:val="0"/>
          <w:numId w:val="2"/>
        </w:numPr>
        <w:spacing w:after="80"/>
      </w:pPr>
      <w:r>
        <w:t xml:space="preserve">Admin training for SaganFG operations staff.</w:t>
      </w:r>
    </w:p>
    <w:p>
      <w:pPr>
        <w:pStyle w:val="ListParagraph"/>
        <w:numPr>
          <w:ilvl w:val="0"/>
          <w:numId w:val="2"/>
        </w:numPr>
        <w:spacing w:after="80"/>
      </w:pPr>
      <w:r>
        <w:t xml:space="preserve">60 days of post-launch bug fix support included.</w:t>
      </w:r>
    </w:p>
    <w:p>
      <w:r>
        <w:br w:type="page"/>
      </w:r>
    </w:p>
    <w:p>
      <w:pPr>
        <w:pStyle w:val="Heading1"/>
      </w:pPr>
      <w:r>
        <w:t xml:space="preserve">16. What to Include in Your Bid</w:t>
      </w:r>
    </w:p>
    <w:p>
      <w:pPr>
        <w:pStyle w:val="ListParagraph"/>
        <w:numPr>
          <w:ilvl w:val="0"/>
          <w:numId w:val="2"/>
        </w:numPr>
        <w:spacing w:after="80"/>
      </w:pPr>
      <w:r>
        <w:t xml:space="preserve">Links to two or three SaaS platforms you have built, ideally in regulated industries.</w:t>
      </w:r>
    </w:p>
    <w:p>
      <w:pPr>
        <w:pStyle w:val="ListParagraph"/>
        <w:numPr>
          <w:ilvl w:val="0"/>
          <w:numId w:val="2"/>
        </w:numPr>
        <w:spacing w:after="80"/>
      </w:pPr>
      <w:r>
        <w:t xml:space="preserve">Confirmation of SOC 2 build experience with concrete examples.</w:t>
      </w:r>
    </w:p>
    <w:p>
      <w:pPr>
        <w:pStyle w:val="ListParagraph"/>
        <w:numPr>
          <w:ilvl w:val="0"/>
          <w:numId w:val="2"/>
        </w:numPr>
        <w:spacing w:after="80"/>
      </w:pPr>
      <w:r>
        <w:t xml:space="preserve">Demonstrated experience with AI-integrated applications (document analysis, RAG, LLM features).</w:t>
      </w:r>
    </w:p>
    <w:p>
      <w:pPr>
        <w:pStyle w:val="ListParagraph"/>
        <w:numPr>
          <w:ilvl w:val="0"/>
          <w:numId w:val="2"/>
        </w:numPr>
        <w:spacing w:after="80"/>
      </w:pPr>
      <w:r>
        <w:t xml:space="preserve">Recommended tech stack with reasoning.</w:t>
      </w:r>
    </w:p>
    <w:p>
      <w:pPr>
        <w:pStyle w:val="ListParagraph"/>
        <w:numPr>
          <w:ilvl w:val="0"/>
          <w:numId w:val="2"/>
        </w:numPr>
        <w:spacing w:after="80"/>
      </w:pPr>
      <w:r>
        <w:t xml:space="preserve">Estimated timeline for Phase 1.</w:t>
      </w:r>
    </w:p>
    <w:p>
      <w:pPr>
        <w:pStyle w:val="ListParagraph"/>
        <w:numPr>
          <w:ilvl w:val="0"/>
          <w:numId w:val="2"/>
        </w:numPr>
        <w:spacing w:after="80"/>
      </w:pPr>
      <w:r>
        <w:t xml:space="preserve">Proposed milestone breakdown with deliverables per milestone.</w:t>
      </w:r>
    </w:p>
    <w:p>
      <w:pPr>
        <w:pStyle w:val="ListParagraph"/>
        <w:numPr>
          <w:ilvl w:val="0"/>
          <w:numId w:val="2"/>
        </w:numPr>
        <w:spacing w:after="80"/>
      </w:pPr>
      <w:r>
        <w:t xml:space="preserve">Any assumptions you are making.</w:t>
      </w:r>
    </w:p>
    <w:p>
      <w:pPr>
        <w:pStyle w:val="ListParagraph"/>
        <w:numPr>
          <w:ilvl w:val="0"/>
          <w:numId w:val="2"/>
        </w:numPr>
        <w:spacing w:after="80"/>
      </w:pPr>
      <w:r>
        <w:t xml:space="preserve">Any features in this document you would defer to a follow-up engagement if budget required.</w:t>
      </w:r>
    </w:p>
    <w:p>
      <w:pPr>
        <w:pStyle w:val="ListParagraph"/>
        <w:numPr>
          <w:ilvl w:val="0"/>
          <w:numId w:val="2"/>
        </w:numPr>
        <w:spacing w:after="80"/>
      </w:pPr>
      <w:r>
        <w:t xml:space="preserve">Questions about scope.</w:t>
      </w:r>
    </w:p>
    <w:p>
      <w:pPr>
        <w:pStyle w:val="Heading1"/>
      </w:pPr>
      <w:r>
        <w:t xml:space="preserve">17. Confidentiality</w:t>
      </w:r>
    </w:p>
    <w:p>
      <w:pPr>
        <w:spacing w:after="120"/>
      </w:pPr>
      <w:r>
        <w:t xml:space="preserve">This document and all related communications are confidential. By bidding, you agree not to share this document, screenshots, or any specifics of the project with third parties without written consent from Sagan Financial Group. A formal NDA will be executed before any sensitive technical details (production architecture, security implementations, or business plans) are shared with the selected bidder.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2026-05-23T18:28:20.371Z</dcterms:created>
  <dcterms:modified xsi:type="dcterms:W3CDTF">2026-05-23T18:28:20.384Z</dcterms:modified>
</cp:coreProperties>
</file>

<file path=docProps/custom.xml><?xml version="1.0" encoding="utf-8"?>
<Properties xmlns="http://schemas.openxmlformats.org/officeDocument/2006/custom-properties" xmlns:vt="http://schemas.openxmlformats.org/officeDocument/2006/docPropsVTypes"/>
</file>