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0A1628" w:val="clear"/>
          </w:tcPr>
          <w:p>
            <w:pPr>
              <w:spacing w:before="4785"/>
            </w:pPr>
          </w:p>
          <w:p>
            <w:pPr>
              <w:pBdr>
                <w:bottom w:val="single" w:color="5B8DB8" w:sz="6" w:space="8"/>
              </w:pBdr>
              <w:spacing w:after="500"/>
              <w:ind w:left="1200" w:right="800"/>
            </w:pPr>
            <w:r>
              <w:rPr>
                <w:rFonts w:ascii="Calibri" w:eastAsia="SimHei"/>
                <w:color w:val="5B8DB8"/>
                <w:spacing w:val="40"/>
                <w:sz w:val="18"/>
                <w:szCs w:val="18"/>
              </w:rPr>
              <w:t xml:space="preserve">Q  M  S     I  S  O     1  3  4  8  5     P  R  O     -     M  I  G  R  A  T  I  O  N     M  A  N  I  F  E  S  T</w:t>
            </w:r>
          </w:p>
          <w:p>
            <w:pPr>
              <w:spacing w:after="100" w:line="920" w:lineRule="atLeast"/>
              <w:ind w:left="1200"/>
            </w:pPr>
            <w:r>
              <w:rPr>
                <w:rFonts w:ascii="Arial" w:eastAsia="SimHei"/>
                <w:b/>
                <w:bCs/>
                <w:color w:val="FFFFFF"/>
                <w:sz w:val="80"/>
                <w:szCs w:val="80"/>
              </w:rPr>
              <w:t xml:space="preserve">Manifeste de</w:t>
            </w:r>
          </w:p>
          <w:p>
            <w:pPr>
              <w:spacing w:after="100" w:line="920" w:lineRule="atLeast"/>
              <w:ind w:left="1200"/>
            </w:pPr>
            <w:r>
              <w:rPr>
                <w:rFonts w:ascii="Arial" w:eastAsia="SimHei"/>
                <w:b/>
                <w:bCs/>
                <w:color w:val="FFFFFF"/>
                <w:sz w:val="80"/>
                <w:szCs w:val="80"/>
              </w:rPr>
              <w:t xml:space="preserve"> Migration QMS ISO 13485</w:t>
            </w:r>
          </w:p>
          <w:p>
            <w:pPr>
              <w:spacing w:after="300" w:line="920" w:lineRule="atLeast"/>
              <w:ind w:left="1200"/>
            </w:pPr>
            <w:r>
              <w:rPr>
                <w:rFonts w:ascii="Arial" w:eastAsia="SimHei"/>
                <w:b/>
                <w:bCs/>
                <w:color w:val="FFFFFF"/>
                <w:sz w:val="80"/>
                <w:szCs w:val="80"/>
              </w:rPr>
              <w:t xml:space="preserve"> Pro</w:t>
            </w:r>
          </w:p>
          <w:p>
            <w:pPr>
              <w:spacing w:after="800"/>
              <w:ind w:left="1200"/>
            </w:pPr>
            <w:r>
              <w:rPr>
                <w:rFonts w:ascii="Arial" w:eastAsia="Microsoft YaHei"/>
                <w:color w:val="B0C8E0"/>
                <w:sz w:val="24"/>
                <w:szCs w:val="24"/>
              </w:rPr>
              <w:t xml:space="preserve">Plan stratégique en 5 phases pour le déploiement complet</w:t>
            </w:r>
          </w:p>
          <w:p>
            <w:pPr>
              <w:pBdr>
                <w:left w:val="single" w:color="5B8DB8" w:sz="8" w:space="12"/>
              </w:pBdr>
              <w:spacing w:after="80"/>
              <w:ind w:left="1400"/>
            </w:pPr>
            <w:r>
              <w:rPr>
                <w:rFonts w:ascii="Arial" w:eastAsia="Microsoft YaHei"/>
                <w:color w:val="8AACCC"/>
                <w:sz w:val="24"/>
                <w:szCs w:val="24"/>
              </w:rPr>
              <w:t xml:space="preserve">Plateforme : Vercel + Supabase PostgreSQL</w:t>
            </w:r>
          </w:p>
          <w:p>
            <w:pPr>
              <w:pBdr>
                <w:left w:val="single" w:color="5B8DB8" w:sz="8" w:space="12"/>
              </w:pBdr>
              <w:spacing w:after="80"/>
              <w:ind w:left="1400"/>
            </w:pPr>
            <w:r>
              <w:rPr>
                <w:rFonts w:ascii="Arial" w:eastAsia="Microsoft YaHei"/>
                <w:color w:val="8AACCC"/>
                <w:sz w:val="24"/>
                <w:szCs w:val="24"/>
              </w:rPr>
              <w:t xml:space="preserve">Authentification : Custom bcrypt + Session cookie</w:t>
            </w:r>
          </w:p>
          <w:p>
            <w:pPr>
              <w:pBdr>
                <w:left w:val="single" w:color="5B8DB8" w:sz="8" w:space="12"/>
              </w:pBdr>
              <w:spacing w:after="80"/>
              <w:ind w:left="1400"/>
            </w:pPr>
            <w:r>
              <w:rPr>
                <w:rFonts w:ascii="Arial" w:eastAsia="Microsoft YaHei"/>
                <w:color w:val="8AACCC"/>
                <w:sz w:val="24"/>
                <w:szCs w:val="24"/>
              </w:rPr>
              <w:t xml:space="preserve">Conformité : 21 CFR Part 11 / ISO 13485 / ISO 14971</w:t>
            </w:r>
          </w:p>
          <w:p>
            <w:pPr>
              <w:pBdr>
                <w:left w:val="single" w:color="5B8DB8" w:sz="8" w:space="12"/>
              </w:pBdr>
              <w:spacing w:after="80"/>
              <w:ind w:left="1400"/>
            </w:pPr>
            <w:r>
              <w:rPr>
                <w:rFonts w:ascii="Arial" w:eastAsia="Microsoft YaHei"/>
                <w:color w:val="8AACCC"/>
                <w:sz w:val="24"/>
                <w:szCs w:val="24"/>
              </w:rPr>
              <w:t xml:space="preserve">Date : Juillet 2026</w:t>
            </w:r>
          </w:p>
          <w:p>
            <w:pPr>
              <w:spacing w:before="3190"/>
            </w:pPr>
          </w:p>
          <w:p>
            <w:pPr>
              <w:pBdr>
                <w:top w:val="single" w:color="5B8DB8" w:sz="2" w:space="8"/>
              </w:pBdr>
              <w:spacing w:before="200"/>
              <w:ind w:left="1200" w:right="800"/>
            </w:pPr>
            <w:r>
              <w:rPr>
                <w:rFonts w:ascii="Arial"/>
                <w:color w:val="6A8AB0"/>
                <w:sz w:val="16"/>
                <w:szCs w:val="16"/>
              </w:rPr>
              <w:t xml:space="preserve">QMS ISO 13485 Pro</w:t>
            </w:r>
            <w:r>
              <w:t xml:space="preserve">                                        </w:t>
            </w:r>
            <w:r>
              <w:rPr>
                <w:rFonts w:ascii="Arial"/>
                <w:color w:val="6A8AB0"/>
                <w:sz w:val="16"/>
                <w:szCs w:val="16"/>
              </w:rPr>
              <w:t xml:space="preserve">Confidentiel</w:t>
            </w:r>
          </w:p>
        </w:tc>
      </w:tr>
    </w:tbl>
    <w:p>
      <w:pPr>
        <w:sectPr>
          <w:pgSz w:w="11906" w:h="16838" w:orient="portrait"/>
          <w:pgMar w:top="0" w:right="0" w:bottom="0" w:left="0" w:header="708" w:footer="708" w:gutter="0"/>
          <w:pgNumType/>
          <w:docGrid w:linePitch="360"/>
        </w:sectPr>
      </w:pPr>
    </w:p>
    <w:p>
      <w:pPr>
        <w:spacing w:after="300"/>
      </w:pPr>
      <w:r>
        <w:rPr>
          <w:rFonts w:ascii="Calibri" w:eastAsia="SimHei"/>
          <w:b/>
          <w:bCs/>
          <w:color w:val="0A1628"/>
          <w:sz w:val="32"/>
          <w:szCs w:val="32"/>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Vue d’ensemble des phases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Phase 1 : Schéma de base de données (TERMINÉ)</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1A — Enums PostgreSQL</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1B — Tables (25 nouvelles tables)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1C — Fonctions et Triggers</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1D — Données de référence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1E — Colonnes additionnelles</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Phase 2 : Services Supabase</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2A — Politiques RLS (Row Level Security)</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2B — Edge Functions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2C — Realtime (abonnements temps réel)</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2D — Storage (gestion de fichiers)</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Phase 3 : Modules UI</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3A — Gestion documentaire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3B — CAPA (§8.5.2/8.5.3)</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3C — Non-Conformités (§8.3)</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3D — Déviations</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3E — Maîtrise des Changements (§7.3.7)</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3F — Audits (§8.2.4)</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3G — Formation (§6.2)</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3H — Risques (ISO 14971) et Fournisseurs (§7.4.1)</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Phase 4 : Fonctionnalités transversales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4A — Notifications</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4B — Rapports planifiés</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4C — Recherche globale</w:t>
            </w:r>
            <w:r>
              <w:tab/>
            </w:r>
            <w:r>
              <w:fldChar w:fldCharType="begin"/>
            </w:r>
            <w:r>
              <w:instrText xml:space="preserve"> PAGEREF _Toc100025 \h </w:instrText>
            </w:r>
            <w:r>
              <w:fldChar w:fldCharType="separate"/>
            </w:r>
            <w:r>
              <w:t>7</w:t>
            </w:r>
            <w:r>
              <w:fldChar w:fldCharType="end"/>
            </w:r>
          </w:hyperlink>
        </w:p>
        <w:p>
          <w:pPr>
            <w:pStyle w:val="11"/>
            <w:ind w:left="360"/>
            <w:tabs>
              <w:tab w:val="right" w:leader="dot" w:pos="9026"/>
            </w:tabs>
            <w:spacing w:before="120" w:after="60"/>
          </w:pPr>
          <w:hyperlink w:anchor="_Toc100026" w:history="1">
            <w:r>
              <w:rPr>
                <w:rStyle w:val="Hyperlink"/>
              </w:rPr>
              <w:t>4D — Export de données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4E — Tableaux de bord</w:t>
            </w:r>
            <w:r>
              <w:tab/>
            </w:r>
            <w:r>
              <w:fldChar w:fldCharType="begin"/>
            </w:r>
            <w:r>
              <w:instrText xml:space="preserve"> PAGEREF _Toc100027 \h </w:instrText>
            </w:r>
            <w:r>
              <w:fldChar w:fldCharType="separate"/>
            </w:r>
            <w:r>
              <w:t>8</w:t>
            </w:r>
            <w:r>
              <w:fldChar w:fldCharType="end"/>
            </w:r>
          </w:hyperlink>
        </w:p>
        <w:p>
          <w:pPr>
            <w:pStyle w:val="9"/>
            <w:tabs>
              <w:tab w:val="right" w:leader="dot" w:pos="9026"/>
            </w:tabs>
            <w:spacing w:before="120" w:after="60"/>
          </w:pPr>
          <w:hyperlink w:anchor="_Toc100028" w:history="1">
            <w:r>
              <w:rPr>
                <w:rStyle w:val="Hyperlink"/>
              </w:rPr>
              <w:t>Phase 5 : Sécurité et conformité</w:t>
            </w:r>
            <w:r>
              <w:tab/>
            </w:r>
            <w:r>
              <w:fldChar w:fldCharType="begin"/>
            </w:r>
            <w:r>
              <w:instrText xml:space="preserve"> PAGEREF _Toc100028 \h </w:instrText>
            </w:r>
            <w:r>
              <w:fldChar w:fldCharType="separate"/>
            </w:r>
            <w:r>
              <w:t>8</w:t>
            </w:r>
            <w:r>
              <w:fldChar w:fldCharType="end"/>
            </w:r>
          </w:hyperlink>
        </w:p>
        <w:p>
          <w:pPr>
            <w:pStyle w:val="11"/>
            <w:ind w:left="360"/>
            <w:tabs>
              <w:tab w:val="right" w:leader="dot" w:pos="9026"/>
            </w:tabs>
            <w:spacing w:before="120" w:after="60"/>
          </w:pPr>
          <w:hyperlink w:anchor="_Toc100029" w:history="1">
            <w:r>
              <w:rPr>
                <w:rStyle w:val="Hyperlink"/>
              </w:rPr>
              <w:t>5A — Signatures électroniques (21 CFR Part 11 §11.200)</w:t>
            </w:r>
            <w:r>
              <w:tab/>
            </w:r>
            <w:r>
              <w:fldChar w:fldCharType="begin"/>
            </w:r>
            <w:r>
              <w:instrText xml:space="preserve"> PAGEREF _Toc100029 \h </w:instrText>
            </w:r>
            <w:r>
              <w:fldChar w:fldCharType="separate"/>
            </w:r>
            <w:r>
              <w:t>8</w:t>
            </w:r>
            <w:r>
              <w:fldChar w:fldCharType="end"/>
            </w:r>
          </w:hyperlink>
        </w:p>
        <w:p>
          <w:pPr>
            <w:pStyle w:val="11"/>
            <w:ind w:left="360"/>
            <w:tabs>
              <w:tab w:val="right" w:leader="dot" w:pos="9026"/>
            </w:tabs>
            <w:spacing w:before="120" w:after="60"/>
          </w:pPr>
          <w:hyperlink w:anchor="_Toc100030" w:history="1">
            <w:r>
              <w:rPr>
                <w:rStyle w:val="Hyperlink"/>
              </w:rPr>
              <w:t>5B — Audit trail blockchain</w:t>
            </w:r>
            <w:r>
              <w:tab/>
            </w:r>
            <w:r>
              <w:fldChar w:fldCharType="begin"/>
            </w:r>
            <w:r>
              <w:instrText xml:space="preserve"> PAGEREF _Toc100030 \h </w:instrText>
            </w:r>
            <w:r>
              <w:fldChar w:fldCharType="separate"/>
            </w:r>
            <w:r>
              <w:t>8</w:t>
            </w:r>
            <w:r>
              <w:fldChar w:fldCharType="end"/>
            </w:r>
          </w:hyperlink>
        </w:p>
        <w:p>
          <w:pPr>
            <w:pStyle w:val="11"/>
            <w:ind w:left="360"/>
            <w:tabs>
              <w:tab w:val="right" w:leader="dot" w:pos="9026"/>
            </w:tabs>
            <w:spacing w:before="120" w:after="60"/>
          </w:pPr>
          <w:hyperlink w:anchor="_Toc100031" w:history="1">
            <w:r>
              <w:rPr>
                <w:rStyle w:val="Hyperlink"/>
              </w:rPr>
              <w:t>5C — Maker-Checker</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5D — Conformité réglementaire complète</w:t>
            </w:r>
            <w:r>
              <w:tab/>
            </w:r>
            <w:r>
              <w:fldChar w:fldCharType="begin"/>
            </w:r>
            <w:r>
              <w:instrText xml:space="preserve"> PAGEREF _Toc100032 \h </w:instrText>
            </w:r>
            <w:r>
              <w:fldChar w:fldCharType="separate"/>
            </w:r>
            <w:r>
              <w:t>9</w:t>
            </w:r>
            <w:r>
              <w:fldChar w:fldCharType="end"/>
            </w:r>
          </w:hyperlink>
        </w:p>
        <w:p>
          <w:r>
            <w:fldChar w:fldCharType="end"/>
          </w:r>
        </w:p>
      </w:sdtContent>
    </w:sdt>
    <w:p>
      <w:pPr>
        <w:spacing w:before="200"/>
        <w:jc w:val="center"/>
      </w:pPr>
      <w:r>
        <w:rPr>
          <w:i/>
          <w:iCs/>
          <w:color w:val="6878A0"/>
          <w:sz w:val="18"/>
          <w:szCs w:val="18"/>
        </w:rPr>
        <w:t xml:space="preserve">Clic droit sur la table → « Mettre à jour les champs » pour actualiser les numéros de page</w:t>
      </w:r>
    </w:p>
    <w:p>
      <w:r>
        <w:br w:type="page"/>
      </w:r>
    </w:p>
    <w:p>
      <w:pPr>
        <w:sectPr>
          <w:footerReference w:type="default" r:id="rId7"/>
          <w:pgSz w:w="11906" w:h="16838" w:orient="portrait"/>
          <w:pgMar w:top="1440" w:right="1440" w:bottom="1440" w:left="1440" w:header="708" w:footer="708" w:gutter="0"/>
          <w:pgNumType w:start="1" w:fmt="upperRoman"/>
          <w:docGrid w:linePitch="360"/>
        </w:sectPr>
      </w:pPr>
    </w:p>
    <w:p>
      <w:pPr>
        <w:pStyle w:val="Heading1"/>
        <w:spacing w:after="180" w:before="360"/>
      </w:pPr>
      <w:bookmarkStart w:id="100000" w:name="_Toc100000"/>
      <w:r>
        <w:rPr>
          <w:rFonts w:ascii="Calibri" w:eastAsia="SimHei"/>
          <w:b/>
          <w:bCs/>
          <w:color w:val="0A1628"/>
          <w:sz w:val="32"/>
          <w:szCs w:val="32"/>
        </w:rPr>
        <w:t xml:space="preserve">Introduction</w:t>
      </w:r>
      <w:bookmarkEnd w:id="100000"/>
    </w:p>
    <w:p>
      <w:pPr>
        <w:spacing w:line="312"/>
        <w:ind w:firstLine="480"/>
        <w:jc w:val="both"/>
      </w:pPr>
      <w:r>
        <w:rPr>
          <w:rFonts w:ascii="Calibri" w:eastAsia="Microsoft YaHei"/>
          <w:color w:val="1A2B40"/>
          <w:sz w:val="24"/>
          <w:szCs w:val="24"/>
        </w:rPr>
        <w:t xml:space="preserve">Ce manifeste décrit le plan de migration complet du système QMS ISO 13485 Pro, déployé sur Vercel avec Supabase comme base de données PostgreSQL. Le projet vise à étendre les fonctionnalités existantes du système de gestion de la qualité pour couvrir l’ensemble des exigences réglementaires ISO 13485, ISO 14971 et 21 CFR Part 11, sans interrompre le fonctionnement actuel de l’application.</w:t>
      </w:r>
    </w:p>
    <w:p>
      <w:pPr>
        <w:spacing w:line="312"/>
        <w:ind w:firstLine="480"/>
        <w:jc w:val="both"/>
      </w:pPr>
      <w:r>
        <w:rPr>
          <w:rFonts w:ascii="Calibri" w:eastAsia="Microsoft YaHei"/>
          <w:color w:val="1A2B40"/>
          <w:sz w:val="24"/>
          <w:szCs w:val="24"/>
        </w:rPr>
        <w:t xml:space="preserve">La migration est structurée en 5 phases séquentielles, chacune conçue pour être indépendante et non cassante. La Phase 1 (schéma de base de données) est déjà terminée. Les phases suivantes ajouteront progressivement les politiques de sécurité, les modules UI, les fonctionnalités transversales et les couches de sécurité avancées.</w:t>
      </w:r>
    </w:p>
    <w:p>
      <w:pPr>
        <w:spacing w:line="312"/>
        <w:ind w:firstLine="480"/>
        <w:jc w:val="both"/>
      </w:pPr>
      <w:r>
        <w:rPr>
          <w:rFonts w:ascii="Calibri" w:eastAsia="Microsoft YaHei"/>
          <w:color w:val="1A2B40"/>
          <w:sz w:val="24"/>
          <w:szCs w:val="24"/>
        </w:rPr>
        <w:t xml:space="preserve">L’architecture repose sur un système d’authentification custom (bcrypt + cookie de session) et non sur Supabase Auth. Les clés primaires utilisent le type TEXT (et non UUID) pour les tables organizations et profiles. Le schéma est multi-tenant avec isolation par organization_id.</w:t>
      </w:r>
    </w:p>
    <w:p>
      <w:pPr>
        <w:pStyle w:val="Heading1"/>
        <w:spacing w:after="180" w:before="360"/>
      </w:pPr>
      <w:bookmarkStart w:id="100001" w:name="_Toc100001"/>
      <w:r>
        <w:rPr>
          <w:rFonts w:ascii="Calibri" w:eastAsia="SimHei"/>
          <w:b/>
          <w:bCs/>
          <w:color w:val="0A1628"/>
          <w:sz w:val="32"/>
          <w:szCs w:val="32"/>
        </w:rPr>
        <w:t xml:space="preserve">Vue d’ensemble des phases</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8%"/>
            <w:tcBorders>
              <w:top w:val="single" w:color="5B8DB8" w:sz="2"/>
              <w:left w:val="none"/>
              <w:bottom w:val="single" w:color="5B8DB8" w:sz="2"/>
              <w:right w:val="none"/>
            </w:tcBorders>
            <w:shd w:fill="5B8DB8" w:val="clear"/>
            <w:tcMar>
              <w:top w:type="dxa" w:w="60"/>
              <w:left w:type="dxa" w:w="120"/>
              <w:bottom w:type="dxa" w:w="60"/>
              <w:right w:type="dxa" w:w="120"/>
            </w:tcMar>
          </w:tcPr>
          <w:p>
            <w:r>
              <w:rPr>
                <w:rFonts w:ascii="Calibri" w:eastAsia="SimHei"/>
                <w:b/>
                <w:bCs/>
                <w:color w:val="FFFFFF"/>
                <w:sz w:val="21"/>
                <w:szCs w:val="21"/>
              </w:rPr>
              <w:t xml:space="preserve">Phase</w:t>
            </w:r>
          </w:p>
        </w:tc>
        <w:tc>
          <w:tcPr>
            <w:tcW w:type="pct" w:w="25%"/>
            <w:tcBorders>
              <w:top w:val="single" w:color="5B8DB8" w:sz="2"/>
              <w:left w:val="none"/>
              <w:bottom w:val="single" w:color="5B8DB8" w:sz="2"/>
              <w:right w:val="none"/>
            </w:tcBorders>
            <w:shd w:fill="5B8DB8" w:val="clear"/>
            <w:tcMar>
              <w:top w:type="dxa" w:w="60"/>
              <w:left w:type="dxa" w:w="120"/>
              <w:bottom w:type="dxa" w:w="60"/>
              <w:right w:type="dxa" w:w="120"/>
            </w:tcMar>
          </w:tcPr>
          <w:p>
            <w:r>
              <w:rPr>
                <w:rFonts w:ascii="Calibri" w:eastAsia="SimHei"/>
                <w:b/>
                <w:bCs/>
                <w:color w:val="FFFFFF"/>
                <w:sz w:val="21"/>
                <w:szCs w:val="21"/>
              </w:rPr>
              <w:t xml:space="preserve">Nom</w:t>
            </w:r>
          </w:p>
        </w:tc>
        <w:tc>
          <w:tcPr>
            <w:tcW w:type="pct" w:w="40%"/>
            <w:tcBorders>
              <w:top w:val="single" w:color="5B8DB8" w:sz="2"/>
              <w:left w:val="none"/>
              <w:bottom w:val="single" w:color="5B8DB8" w:sz="2"/>
              <w:right w:val="none"/>
            </w:tcBorders>
            <w:shd w:fill="5B8DB8" w:val="clear"/>
            <w:tcMar>
              <w:top w:type="dxa" w:w="60"/>
              <w:left w:type="dxa" w:w="120"/>
              <w:bottom w:type="dxa" w:w="60"/>
              <w:right w:type="dxa" w:w="120"/>
            </w:tcMar>
          </w:tcPr>
          <w:p>
            <w:r>
              <w:rPr>
                <w:rFonts w:ascii="Calibri" w:eastAsia="SimHei"/>
                <w:b/>
                <w:bCs/>
                <w:color w:val="FFFFFF"/>
                <w:sz w:val="21"/>
                <w:szCs w:val="21"/>
              </w:rPr>
              <w:t xml:space="preserve">Description</w:t>
            </w:r>
          </w:p>
        </w:tc>
        <w:tc>
          <w:tcPr>
            <w:tcW w:type="pct" w:w="15%"/>
            <w:tcBorders>
              <w:top w:val="single" w:color="5B8DB8" w:sz="2"/>
              <w:left w:val="none"/>
              <w:bottom w:val="single" w:color="5B8DB8" w:sz="2"/>
              <w:right w:val="none"/>
            </w:tcBorders>
            <w:shd w:fill="5B8DB8" w:val="clear"/>
            <w:tcMar>
              <w:top w:type="dxa" w:w="60"/>
              <w:left w:type="dxa" w:w="120"/>
              <w:bottom w:type="dxa" w:w="60"/>
              <w:right w:type="dxa" w:w="120"/>
            </w:tcMar>
          </w:tcPr>
          <w:p>
            <w:r>
              <w:rPr>
                <w:rFonts w:ascii="Calibri" w:eastAsia="SimHei"/>
                <w:b/>
                <w:bCs/>
                <w:color w:val="FFFFFF"/>
                <w:sz w:val="21"/>
                <w:szCs w:val="21"/>
              </w:rPr>
              <w:t xml:space="preserve">Sous-étapes</w:t>
            </w:r>
          </w:p>
        </w:tc>
        <w:tc>
          <w:tcPr>
            <w:tcW w:type="pct" w:w="12%"/>
            <w:tcBorders>
              <w:top w:val="single" w:color="5B8DB8" w:sz="2"/>
              <w:left w:val="none"/>
              <w:bottom w:val="single" w:color="5B8DB8" w:sz="2"/>
              <w:right w:val="none"/>
            </w:tcBorders>
            <w:shd w:fill="5B8DB8" w:val="clear"/>
            <w:tcMar>
              <w:top w:type="dxa" w:w="60"/>
              <w:left w:type="dxa" w:w="120"/>
              <w:bottom w:type="dxa" w:w="60"/>
              <w:right w:type="dxa" w:w="120"/>
            </w:tcMar>
          </w:tcPr>
          <w:p>
            <w:r>
              <w:rPr>
                <w:rFonts w:ascii="Calibri" w:eastAsia="SimHei"/>
                <w:b/>
                <w:bCs/>
                <w:color w:val="FFFFFF"/>
                <w:sz w:val="21"/>
                <w:szCs w:val="21"/>
              </w:rPr>
              <w:t xml:space="preserve">Statut</w:t>
            </w:r>
          </w:p>
        </w:tc>
      </w:tr>
      <w:tr>
        <w:trPr>
          <w:cantSplit/>
        </w:trPr>
        <w:tc>
          <w:tcPr>
            <w:tcBorders>
              <w:left w:val="none"/>
              <w:bottom w:val="single" w:color="D0D0D0" w:sz="1"/>
              <w:right w:val="none"/>
            </w:tcBorders>
            <w:shd w:fill="F4F8FC" w:val="clear"/>
            <w:tcMar>
              <w:top w:type="dxa" w:w="50"/>
              <w:left w:type="dxa" w:w="120"/>
              <w:bottom w:type="dxa" w:w="50"/>
              <w:right w:type="dxa" w:w="120"/>
            </w:tcMar>
          </w:tcPr>
          <w:p>
            <w:r>
              <w:rPr>
                <w:rFonts w:ascii="Calibri"/>
                <w:b/>
                <w:bCs/>
                <w:color w:val="0A1628"/>
                <w:sz w:val="21"/>
                <w:szCs w:val="21"/>
              </w:rPr>
              <w:t xml:space="preserve">1</w:t>
            </w:r>
          </w:p>
        </w:tc>
        <w:tc>
          <w:tcPr>
            <w:tcBorders>
              <w:left w:val="none"/>
              <w:bottom w:val="single" w:color="D0D0D0" w:sz="1"/>
              <w:right w:val="none"/>
            </w:tcBorders>
            <w:shd w:fill="F4F8FC" w:val="clear"/>
            <w:tcMar>
              <w:top w:type="dxa" w:w="50"/>
              <w:left w:type="dxa" w:w="120"/>
              <w:bottom w:type="dxa" w:w="50"/>
              <w:right w:type="dxa" w:w="120"/>
            </w:tcMar>
          </w:tcPr>
          <w:p>
            <w:r>
              <w:rPr>
                <w:rFonts w:ascii="Calibri" w:eastAsia="SimHei"/>
                <w:b/>
                <w:bCs/>
                <w:color w:val="1A2B40"/>
                <w:sz w:val="21"/>
                <w:szCs w:val="21"/>
              </w:rPr>
              <w:t xml:space="preserve">Schéma DB</w:t>
            </w:r>
          </w:p>
        </w:tc>
        <w:tc>
          <w:tcPr>
            <w:tcBorders>
              <w:left w:val="none"/>
              <w:bottom w:val="single" w:color="D0D0D0" w:sz="1"/>
              <w:right w:val="none"/>
            </w:tcBorders>
            <w:shd w:fill="F4F8FC" w:val="clear"/>
            <w:tcMar>
              <w:top w:type="dxa" w:w="50"/>
              <w:left w:type="dxa" w:w="120"/>
              <w:bottom w:type="dxa" w:w="50"/>
              <w:right w:type="dxa" w:w="120"/>
            </w:tcMar>
          </w:tcPr>
          <w:p>
            <w:r>
              <w:rPr>
                <w:rFonts w:ascii="Calibri" w:eastAsia="Microsoft YaHei"/>
                <w:color w:val="1A2B40"/>
                <w:sz w:val="21"/>
                <w:szCs w:val="21"/>
              </w:rPr>
              <w:t xml:space="preserve">Enums, 25 tables, 9 fonctions, 37 triggers, 91 départements, 11 record types</w:t>
            </w:r>
          </w:p>
        </w:tc>
        <w:tc>
          <w:tcPr>
            <w:tcBorders>
              <w:left w:val="none"/>
              <w:bottom w:val="single" w:color="D0D0D0" w:sz="1"/>
              <w:right w:val="none"/>
            </w:tcBorders>
            <w:shd w:fill="F4F8FC" w:val="clear"/>
            <w:tcMar>
              <w:top w:type="dxa" w:w="50"/>
              <w:left w:type="dxa" w:w="120"/>
              <w:bottom w:type="dxa" w:w="50"/>
              <w:right w:type="dxa" w:w="120"/>
            </w:tcMar>
          </w:tcPr>
          <w:p>
            <w:r>
              <w:rPr>
                <w:rFonts w:ascii="Calibri"/>
                <w:color w:val="6878A0"/>
                <w:sz w:val="21"/>
                <w:szCs w:val="21"/>
              </w:rPr>
              <w:t xml:space="preserve">1A à 1E (5)</w:t>
            </w:r>
          </w:p>
        </w:tc>
        <w:tc>
          <w:tcPr>
            <w:tcBorders>
              <w:left w:val="none"/>
              <w:bottom w:val="single" w:color="D0D0D0" w:sz="1"/>
              <w:right w:val="none"/>
            </w:tcBorders>
            <w:shd w:fill="F4F8FC" w:val="clear"/>
            <w:tcMar>
              <w:top w:type="dxa" w:w="50"/>
              <w:left w:type="dxa" w:w="120"/>
              <w:bottom w:type="dxa" w:w="50"/>
              <w:right w:type="dxa" w:w="120"/>
            </w:tcMar>
          </w:tcPr>
          <w:p>
            <w:r>
              <w:rPr>
                <w:rFonts w:ascii="Calibri"/>
                <w:b/>
                <w:bCs/>
                <w:color w:val="2E7D32"/>
                <w:sz w:val="20"/>
                <w:szCs w:val="20"/>
              </w:rPr>
              <w:t xml:space="preserve"> [TERMINÉ]</w:t>
            </w:r>
          </w:p>
        </w:tc>
      </w:tr>
      <w:tr>
        <w:trPr>
          <w:cantSplit/>
        </w:trPr>
        <w:tc>
          <w:tcPr>
            <w:tcBorders>
              <w:left w:val="none"/>
              <w:bottom w:val="single" w:color="D0D0D0" w:sz="1"/>
              <w:right w:val="none"/>
            </w:tcBorders>
            <w:shd w:fill="FFFFFF" w:val="clear"/>
            <w:tcMar>
              <w:top w:type="dxa" w:w="50"/>
              <w:left w:type="dxa" w:w="120"/>
              <w:bottom w:type="dxa" w:w="50"/>
              <w:right w:type="dxa" w:w="120"/>
            </w:tcMar>
          </w:tcPr>
          <w:p>
            <w:r>
              <w:rPr>
                <w:rFonts w:ascii="Calibri"/>
                <w:b/>
                <w:bCs/>
                <w:color w:val="0A1628"/>
                <w:sz w:val="21"/>
                <w:szCs w:val="21"/>
              </w:rPr>
              <w:t xml:space="preserve">2</w:t>
            </w:r>
          </w:p>
        </w:tc>
        <w:tc>
          <w:tcPr>
            <w:tcBorders>
              <w:left w:val="none"/>
              <w:bottom w:val="single" w:color="D0D0D0" w:sz="1"/>
              <w:right w:val="none"/>
            </w:tcBorders>
            <w:shd w:fill="FFFFFF" w:val="clear"/>
            <w:tcMar>
              <w:top w:type="dxa" w:w="50"/>
              <w:left w:type="dxa" w:w="120"/>
              <w:bottom w:type="dxa" w:w="50"/>
              <w:right w:type="dxa" w:w="120"/>
            </w:tcMar>
          </w:tcPr>
          <w:p>
            <w:r>
              <w:rPr>
                <w:rFonts w:ascii="Calibri" w:eastAsia="SimHei"/>
                <w:b/>
                <w:bCs/>
                <w:color w:val="1A2B40"/>
                <w:sz w:val="21"/>
                <w:szCs w:val="21"/>
              </w:rPr>
              <w:t xml:space="preserve">Services Supabase</w:t>
            </w:r>
          </w:p>
        </w:tc>
        <w:tc>
          <w:tcPr>
            <w:tcBorders>
              <w:left w:val="none"/>
              <w:bottom w:val="single" w:color="D0D0D0" w:sz="1"/>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RLS multi-tenant, Edge Functions, Realtime, Storage</w:t>
            </w:r>
          </w:p>
        </w:tc>
        <w:tc>
          <w:tcPr>
            <w:tcBorders>
              <w:left w:val="none"/>
              <w:bottom w:val="single" w:color="D0D0D0" w:sz="1"/>
              <w:right w:val="none"/>
            </w:tcBorders>
            <w:shd w:fill="FFFFFF" w:val="clear"/>
            <w:tcMar>
              <w:top w:type="dxa" w:w="50"/>
              <w:left w:type="dxa" w:w="120"/>
              <w:bottom w:type="dxa" w:w="50"/>
              <w:right w:type="dxa" w:w="120"/>
            </w:tcMar>
          </w:tcPr>
          <w:p>
            <w:r>
              <w:rPr>
                <w:rFonts w:ascii="Calibri"/>
                <w:color w:val="6878A0"/>
                <w:sz w:val="21"/>
                <w:szCs w:val="21"/>
              </w:rPr>
              <w:t xml:space="preserve">2A à 2D (4)</w:t>
            </w:r>
          </w:p>
        </w:tc>
        <w:tc>
          <w:tcPr>
            <w:tcBorders>
              <w:left w:val="none"/>
              <w:bottom w:val="single" w:color="D0D0D0" w:sz="1"/>
              <w:right w:val="none"/>
            </w:tcBorders>
            <w:shd w:fill="FFFFFF" w:val="clear"/>
            <w:tcMar>
              <w:top w:type="dxa" w:w="50"/>
              <w:left w:type="dxa" w:w="120"/>
              <w:bottom w:type="dxa" w:w="50"/>
              <w:right w:type="dxa" w:w="120"/>
            </w:tcMar>
          </w:tcPr>
          <w:p>
            <w:r>
              <w:rPr>
                <w:rFonts w:ascii="Calibri"/>
                <w:b/>
                <w:bCs/>
                <w:color w:val="F57F17"/>
                <w:sz w:val="20"/>
                <w:szCs w:val="20"/>
              </w:rPr>
              <w:t xml:space="preserve"> [EN ATTENTE]</w:t>
            </w:r>
          </w:p>
        </w:tc>
      </w:tr>
      <w:tr>
        <w:trPr>
          <w:cantSplit/>
        </w:trPr>
        <w:tc>
          <w:tcPr>
            <w:tcBorders>
              <w:left w:val="none"/>
              <w:bottom w:val="single" w:color="D0D0D0" w:sz="1"/>
              <w:right w:val="none"/>
            </w:tcBorders>
            <w:shd w:fill="F4F8FC" w:val="clear"/>
            <w:tcMar>
              <w:top w:type="dxa" w:w="50"/>
              <w:left w:type="dxa" w:w="120"/>
              <w:bottom w:type="dxa" w:w="50"/>
              <w:right w:type="dxa" w:w="120"/>
            </w:tcMar>
          </w:tcPr>
          <w:p>
            <w:r>
              <w:rPr>
                <w:rFonts w:ascii="Calibri"/>
                <w:b/>
                <w:bCs/>
                <w:color w:val="0A1628"/>
                <w:sz w:val="21"/>
                <w:szCs w:val="21"/>
              </w:rPr>
              <w:t xml:space="preserve">3</w:t>
            </w:r>
          </w:p>
        </w:tc>
        <w:tc>
          <w:tcPr>
            <w:tcBorders>
              <w:left w:val="none"/>
              <w:bottom w:val="single" w:color="D0D0D0" w:sz="1"/>
              <w:right w:val="none"/>
            </w:tcBorders>
            <w:shd w:fill="F4F8FC" w:val="clear"/>
            <w:tcMar>
              <w:top w:type="dxa" w:w="50"/>
              <w:left w:type="dxa" w:w="120"/>
              <w:bottom w:type="dxa" w:w="50"/>
              <w:right w:type="dxa" w:w="120"/>
            </w:tcMar>
          </w:tcPr>
          <w:p>
            <w:r>
              <w:rPr>
                <w:rFonts w:ascii="Calibri" w:eastAsia="SimHei"/>
                <w:b/>
                <w:bCs/>
                <w:color w:val="1A2B40"/>
                <w:sz w:val="21"/>
                <w:szCs w:val="21"/>
              </w:rPr>
              <w:t xml:space="preserve">Modules UI</w:t>
            </w:r>
          </w:p>
        </w:tc>
        <w:tc>
          <w:tcPr>
            <w:tcBorders>
              <w:left w:val="none"/>
              <w:bottom w:val="single" w:color="D0D0D0" w:sz="1"/>
              <w:right w:val="none"/>
            </w:tcBorders>
            <w:shd w:fill="F4F8FC" w:val="clear"/>
            <w:tcMar>
              <w:top w:type="dxa" w:w="50"/>
              <w:left w:type="dxa" w:w="120"/>
              <w:bottom w:type="dxa" w:w="50"/>
              <w:right w:type="dxa" w:w="120"/>
            </w:tcMar>
          </w:tcPr>
          <w:p>
            <w:r>
              <w:rPr>
                <w:rFonts w:ascii="Calibri" w:eastAsia="Microsoft YaHei"/>
                <w:color w:val="1A2B40"/>
                <w:sz w:val="21"/>
                <w:szCs w:val="21"/>
              </w:rPr>
              <w:t xml:space="preserve">Documents, CAPA, NCR, Deviations, Change Control, Audits, Training, Risks</w:t>
            </w:r>
          </w:p>
        </w:tc>
        <w:tc>
          <w:tcPr>
            <w:tcBorders>
              <w:left w:val="none"/>
              <w:bottom w:val="single" w:color="D0D0D0" w:sz="1"/>
              <w:right w:val="none"/>
            </w:tcBorders>
            <w:shd w:fill="F4F8FC" w:val="clear"/>
            <w:tcMar>
              <w:top w:type="dxa" w:w="50"/>
              <w:left w:type="dxa" w:w="120"/>
              <w:bottom w:type="dxa" w:w="50"/>
              <w:right w:type="dxa" w:w="120"/>
            </w:tcMar>
          </w:tcPr>
          <w:p>
            <w:r>
              <w:rPr>
                <w:rFonts w:ascii="Calibri"/>
                <w:color w:val="6878A0"/>
                <w:sz w:val="21"/>
                <w:szCs w:val="21"/>
              </w:rPr>
              <w:t xml:space="preserve">3A à 3H (8)</w:t>
            </w:r>
          </w:p>
        </w:tc>
        <w:tc>
          <w:tcPr>
            <w:tcBorders>
              <w:left w:val="none"/>
              <w:bottom w:val="single" w:color="D0D0D0" w:sz="1"/>
              <w:right w:val="none"/>
            </w:tcBorders>
            <w:shd w:fill="F4F8FC" w:val="clear"/>
            <w:tcMar>
              <w:top w:type="dxa" w:w="50"/>
              <w:left w:type="dxa" w:w="120"/>
              <w:bottom w:type="dxa" w:w="50"/>
              <w:right w:type="dxa" w:w="120"/>
            </w:tcMar>
          </w:tcPr>
          <w:p>
            <w:r>
              <w:rPr>
                <w:rFonts w:ascii="Calibri"/>
                <w:b/>
                <w:bCs/>
                <w:color w:val="F57F17"/>
                <w:sz w:val="20"/>
                <w:szCs w:val="20"/>
              </w:rPr>
              <w:t xml:space="preserve"> [EN ATTENTE]</w:t>
            </w:r>
          </w:p>
        </w:tc>
      </w:tr>
      <w:tr>
        <w:trPr>
          <w:cantSplit/>
        </w:trPr>
        <w:tc>
          <w:tcPr>
            <w:tcBorders>
              <w:left w:val="none"/>
              <w:bottom w:val="single" w:color="D0D0D0" w:sz="1"/>
              <w:right w:val="none"/>
            </w:tcBorders>
            <w:shd w:fill="FFFFFF" w:val="clear"/>
            <w:tcMar>
              <w:top w:type="dxa" w:w="50"/>
              <w:left w:type="dxa" w:w="120"/>
              <w:bottom w:type="dxa" w:w="50"/>
              <w:right w:type="dxa" w:w="120"/>
            </w:tcMar>
          </w:tcPr>
          <w:p>
            <w:r>
              <w:rPr>
                <w:rFonts w:ascii="Calibri"/>
                <w:b/>
                <w:bCs/>
                <w:color w:val="0A1628"/>
                <w:sz w:val="21"/>
                <w:szCs w:val="21"/>
              </w:rPr>
              <w:t xml:space="preserve">4</w:t>
            </w:r>
          </w:p>
        </w:tc>
        <w:tc>
          <w:tcPr>
            <w:tcBorders>
              <w:left w:val="none"/>
              <w:bottom w:val="single" w:color="D0D0D0" w:sz="1"/>
              <w:right w:val="none"/>
            </w:tcBorders>
            <w:shd w:fill="FFFFFF" w:val="clear"/>
            <w:tcMar>
              <w:top w:type="dxa" w:w="50"/>
              <w:left w:type="dxa" w:w="120"/>
              <w:bottom w:type="dxa" w:w="50"/>
              <w:right w:type="dxa" w:w="120"/>
            </w:tcMar>
          </w:tcPr>
          <w:p>
            <w:r>
              <w:rPr>
                <w:rFonts w:ascii="Calibri" w:eastAsia="SimHei"/>
                <w:b/>
                <w:bCs/>
                <w:color w:val="1A2B40"/>
                <w:sz w:val="21"/>
                <w:szCs w:val="21"/>
              </w:rPr>
              <w:t xml:space="preserve">Fonctionnalités transversales</w:t>
            </w:r>
          </w:p>
        </w:tc>
        <w:tc>
          <w:tcPr>
            <w:tcBorders>
              <w:left w:val="none"/>
              <w:bottom w:val="single" w:color="D0D0D0" w:sz="1"/>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Notifications, rapports planifiés, recherche, export, tableaux de bord</w:t>
            </w:r>
          </w:p>
        </w:tc>
        <w:tc>
          <w:tcPr>
            <w:tcBorders>
              <w:left w:val="none"/>
              <w:bottom w:val="single" w:color="D0D0D0" w:sz="1"/>
              <w:right w:val="none"/>
            </w:tcBorders>
            <w:shd w:fill="FFFFFF" w:val="clear"/>
            <w:tcMar>
              <w:top w:type="dxa" w:w="50"/>
              <w:left w:type="dxa" w:w="120"/>
              <w:bottom w:type="dxa" w:w="50"/>
              <w:right w:type="dxa" w:w="120"/>
            </w:tcMar>
          </w:tcPr>
          <w:p>
            <w:r>
              <w:rPr>
                <w:rFonts w:ascii="Calibri"/>
                <w:color w:val="6878A0"/>
                <w:sz w:val="21"/>
                <w:szCs w:val="21"/>
              </w:rPr>
              <w:t xml:space="preserve">4A à 4E (5)</w:t>
            </w:r>
          </w:p>
        </w:tc>
        <w:tc>
          <w:tcPr>
            <w:tcBorders>
              <w:left w:val="none"/>
              <w:bottom w:val="single" w:color="D0D0D0" w:sz="1"/>
              <w:right w:val="none"/>
            </w:tcBorders>
            <w:shd w:fill="FFFFFF" w:val="clear"/>
            <w:tcMar>
              <w:top w:type="dxa" w:w="50"/>
              <w:left w:type="dxa" w:w="120"/>
              <w:bottom w:type="dxa" w:w="50"/>
              <w:right w:type="dxa" w:w="120"/>
            </w:tcMar>
          </w:tcPr>
          <w:p>
            <w:r>
              <w:rPr>
                <w:rFonts w:ascii="Calibri"/>
                <w:b/>
                <w:bCs/>
                <w:color w:val="F57F17"/>
                <w:sz w:val="20"/>
                <w:szCs w:val="20"/>
              </w:rPr>
              <w:t xml:space="preserve"> [EN ATTENTE]</w:t>
            </w:r>
          </w:p>
        </w:tc>
      </w:tr>
      <w:tr>
        <w:trPr>
          <w:cantSplit/>
        </w:trPr>
        <w:tc>
          <w:tcPr>
            <w:tcBorders>
              <w:left w:val="none"/>
              <w:bottom w:val="single" w:color="D0D0D0" w:sz="1"/>
              <w:right w:val="none"/>
            </w:tcBorders>
            <w:shd w:fill="F4F8FC" w:val="clear"/>
            <w:tcMar>
              <w:top w:type="dxa" w:w="50"/>
              <w:left w:type="dxa" w:w="120"/>
              <w:bottom w:type="dxa" w:w="50"/>
              <w:right w:type="dxa" w:w="120"/>
            </w:tcMar>
          </w:tcPr>
          <w:p>
            <w:r>
              <w:rPr>
                <w:rFonts w:ascii="Calibri"/>
                <w:b/>
                <w:bCs/>
                <w:color w:val="0A1628"/>
                <w:sz w:val="21"/>
                <w:szCs w:val="21"/>
              </w:rPr>
              <w:t xml:space="preserve">5</w:t>
            </w:r>
          </w:p>
        </w:tc>
        <w:tc>
          <w:tcPr>
            <w:tcBorders>
              <w:left w:val="none"/>
              <w:bottom w:val="single" w:color="D0D0D0" w:sz="1"/>
              <w:right w:val="none"/>
            </w:tcBorders>
            <w:shd w:fill="F4F8FC" w:val="clear"/>
            <w:tcMar>
              <w:top w:type="dxa" w:w="50"/>
              <w:left w:type="dxa" w:w="120"/>
              <w:bottom w:type="dxa" w:w="50"/>
              <w:right w:type="dxa" w:w="120"/>
            </w:tcMar>
          </w:tcPr>
          <w:p>
            <w:r>
              <w:rPr>
                <w:rFonts w:ascii="Calibri" w:eastAsia="SimHei"/>
                <w:b/>
                <w:bCs/>
                <w:color w:val="1A2B40"/>
                <w:sz w:val="21"/>
                <w:szCs w:val="21"/>
              </w:rPr>
              <w:t xml:space="preserve">Sécurité &amp; Conformité</w:t>
            </w:r>
          </w:p>
        </w:tc>
        <w:tc>
          <w:tcPr>
            <w:tcBorders>
              <w:left w:val="none"/>
              <w:bottom w:val="single" w:color="D0D0D0" w:sz="1"/>
              <w:right w:val="none"/>
            </w:tcBorders>
            <w:shd w:fill="F4F8FC" w:val="clear"/>
            <w:tcMar>
              <w:top w:type="dxa" w:w="50"/>
              <w:left w:type="dxa" w:w="120"/>
              <w:bottom w:type="dxa" w:w="50"/>
              <w:right w:type="dxa" w:w="120"/>
            </w:tcMar>
          </w:tcPr>
          <w:p>
            <w:r>
              <w:rPr>
                <w:rFonts w:ascii="Calibri" w:eastAsia="Microsoft YaHei"/>
                <w:color w:val="1A2B40"/>
                <w:sz w:val="21"/>
                <w:szCs w:val="21"/>
              </w:rPr>
              <w:t xml:space="preserve">Signatures électroniques, audit blockchain, maker-checker, 21 CFR Part 11</w:t>
            </w:r>
          </w:p>
        </w:tc>
        <w:tc>
          <w:tcPr>
            <w:tcBorders>
              <w:left w:val="none"/>
              <w:bottom w:val="single" w:color="D0D0D0" w:sz="1"/>
              <w:right w:val="none"/>
            </w:tcBorders>
            <w:shd w:fill="F4F8FC" w:val="clear"/>
            <w:tcMar>
              <w:top w:type="dxa" w:w="50"/>
              <w:left w:type="dxa" w:w="120"/>
              <w:bottom w:type="dxa" w:w="50"/>
              <w:right w:type="dxa" w:w="120"/>
            </w:tcMar>
          </w:tcPr>
          <w:p>
            <w:r>
              <w:rPr>
                <w:rFonts w:ascii="Calibri"/>
                <w:color w:val="6878A0"/>
                <w:sz w:val="21"/>
                <w:szCs w:val="21"/>
              </w:rPr>
              <w:t xml:space="preserve">5A à 5D (4)</w:t>
            </w:r>
          </w:p>
        </w:tc>
        <w:tc>
          <w:tcPr>
            <w:tcBorders>
              <w:left w:val="none"/>
              <w:bottom w:val="single" w:color="D0D0D0" w:sz="1"/>
              <w:right w:val="none"/>
            </w:tcBorders>
            <w:shd w:fill="F4F8FC" w:val="clear"/>
            <w:tcMar>
              <w:top w:type="dxa" w:w="50"/>
              <w:left w:type="dxa" w:w="120"/>
              <w:bottom w:type="dxa" w:w="50"/>
              <w:right w:type="dxa" w:w="120"/>
            </w:tcMar>
          </w:tcPr>
          <w:p>
            <w:r>
              <w:rPr>
                <w:rFonts w:ascii="Calibri"/>
                <w:b/>
                <w:bCs/>
                <w:color w:val="F57F17"/>
                <w:sz w:val="20"/>
                <w:szCs w:val="20"/>
              </w:rPr>
              <w:t xml:space="preserve"> [EN ATTENTE]</w:t>
            </w:r>
          </w:p>
        </w:tc>
      </w:tr>
    </w:tbl>
    <w:p>
      <w:pPr>
        <w:pStyle w:val="Heading1"/>
        <w:spacing w:after="180" w:before="360"/>
      </w:pPr>
      <w:bookmarkStart w:id="100002" w:name="_Toc100002"/>
      <w:r>
        <w:rPr>
          <w:rFonts w:ascii="Calibri" w:eastAsia="SimHei"/>
          <w:b/>
          <w:bCs/>
          <w:color w:val="0A1628"/>
          <w:sz w:val="32"/>
          <w:szCs w:val="32"/>
        </w:rPr>
        <w:t xml:space="preserve">Phase 1 : Schéma de base de données (TERMINÉ)</w:t>
      </w:r>
      <w:bookmarkEnd w:id="100002"/>
    </w:p>
    <w:p>
      <w:pPr>
        <w:pStyle w:val="Heading2"/>
        <w:spacing w:after="140" w:before="280"/>
      </w:pPr>
      <w:bookmarkStart w:id="100003" w:name="_Toc100003"/>
      <w:r>
        <w:rPr>
          <w:rFonts w:ascii="Calibri" w:eastAsia="SimHei"/>
          <w:b/>
          <w:bCs/>
          <w:color w:val="0A1628"/>
          <w:sz w:val="28"/>
          <w:szCs w:val="28"/>
        </w:rPr>
        <w:t xml:space="preserve">1A — Enums PostgreSQL</w:t>
      </w:r>
      <w:bookmarkEnd w:id="100003"/>
    </w:p>
    <w:p>
      <w:pPr>
        <w:spacing w:line="312"/>
        <w:ind w:firstLine="480"/>
        <w:jc w:val="both"/>
      </w:pPr>
      <w:r>
        <w:rPr>
          <w:rFonts w:ascii="Calibri" w:eastAsia="Microsoft YaHei"/>
          <w:color w:val="1A2B40"/>
          <w:sz w:val="24"/>
          <w:szCs w:val="24"/>
        </w:rPr>
        <w:t xml:space="preserve">Création de 41 types enum couvrant l’ensemble du domaine métier QMS : statuts de documents (Draft, Under_Review, Approved, Effective, Obsolete, Withdrawn), types de CAPA (Corrective, Preventive), sévérités NCR (Critical, Major, Minor), catégories de risques (Product, Process, System, Supplier), statuts de fournisseurs (Qualified, Conditional, Disqualified, Under_Evaluation), types d’audit (Internal, External, Supplier), et bien d’autres. Chaque enum utilise un bloc DO $$ avec EXCEPTION WHEN duplicate_object pour garantir l’idempotence.</w:t>
      </w:r>
    </w:p>
    <w:p>
      <w:pPr>
        <w:pStyle w:val="Heading2"/>
        <w:spacing w:after="140" w:before="280"/>
      </w:pPr>
      <w:bookmarkStart w:id="100004" w:name="_Toc100004"/>
      <w:r>
        <w:rPr>
          <w:rFonts w:ascii="Calibri" w:eastAsia="SimHei"/>
          <w:b/>
          <w:bCs/>
          <w:color w:val="0A1628"/>
          <w:sz w:val="28"/>
          <w:szCs w:val="28"/>
        </w:rPr>
        <w:t xml:space="preserve">1B — Tables (25 nouvelles tables)</w:t>
      </w:r>
      <w:bookmarkEnd w:id="100004"/>
    </w:p>
    <w:p>
      <w:pPr>
        <w:spacing w:line="312"/>
        <w:ind w:firstLine="480"/>
        <w:jc w:val="both"/>
      </w:pPr>
      <w:r>
        <w:rPr>
          <w:rFonts w:ascii="Calibri" w:eastAsia="Microsoft YaHei"/>
          <w:color w:val="1A2B40"/>
          <w:sz w:val="24"/>
          <w:szCs w:val="24"/>
        </w:rPr>
        <w:t xml:space="preserve">Création de 25 tables avec clés primaires TEXT (gen_random_uuid()::text) et clés étrangères TEXT référençant organizations(id) et profiles(id). Les tables incluent : organization_members (gestion multi-organisation), documents (gestion documentaire ISO 13485 §4.2.3), electronic_signatures (21 CFR Part 11), document_prerequisites, form_templates et form_instances (approbation et exécution), capas (§8.5.2/8.5.3), non_conformances (§8.3), deviations, change_controls (§7.3.7), audits (§8.2.4), training (§6.2), risks (ISO 14971), suppliers (§7.4.1), batch_records (§7.5.1), audit_config (singleton), audit_trails (blockchain HMAC-SHA256), departments (multi-tenant avec UNIQUE code+org), document_triggers, document_relationships, document_code_sequences, record_type_definitions, record_links, scheduled_reports et notifications. Chaque table inclut un bloc DROP IF EXISTS CASCADE pour nettoyage des créations partielles.</w:t>
      </w:r>
    </w:p>
    <w:p>
      <w:pPr>
        <w:pStyle w:val="Heading2"/>
        <w:spacing w:after="140" w:before="280"/>
      </w:pPr>
      <w:bookmarkStart w:id="100005" w:name="_Toc100005"/>
      <w:r>
        <w:rPr>
          <w:rFonts w:ascii="Calibri" w:eastAsia="SimHei"/>
          <w:b/>
          <w:bCs/>
          <w:color w:val="0A1628"/>
          <w:sz w:val="28"/>
          <w:szCs w:val="28"/>
        </w:rPr>
        <w:t xml:space="preserve">1C — Fonctions et Triggers</w:t>
      </w:r>
      <w:bookmarkEnd w:id="100005"/>
    </w:p>
    <w:p>
      <w:pPr>
        <w:spacing w:line="312"/>
        <w:ind w:firstLine="480"/>
        <w:jc w:val="both"/>
      </w:pPr>
      <w:r>
        <w:rPr>
          <w:rFonts w:ascii="Calibri" w:eastAsia="Microsoft YaHei"/>
          <w:color w:val="1A2B40"/>
          <w:sz w:val="24"/>
          <w:szCs w:val="24"/>
        </w:rPr>
        <w:t xml:space="preserve">9 fonctions PL/pgSQL et 37 triggers. Les fonctions incluent : update_updated_at_column (automatisation timestamp), is_org_member/is_org_admin/is_org_owner (helpers RLS), log_audit_trail (audit avec EXCEPTION WHEN OTHERS pour non-blocage), compute_audit_hash (HMAC-SHA256 chaîne blockchain), block_audit_trails_modification (protection append-only 21 CFR §11.10(e)), enforce_maker_checker (ségrégation des tâches), generate_custom_record_number (auto-numérotation PRF-YYYY-NNN), protect_system_record_types et verify_audit_integrity (vérification chaîne de hachage). Les triggers sont créés via EXECUTE format() dans des boucles DO $$ sans imbrication problématique.</w:t>
      </w:r>
    </w:p>
    <w:p>
      <w:pPr>
        <w:pStyle w:val="Heading2"/>
        <w:spacing w:after="140" w:before="280"/>
      </w:pPr>
      <w:bookmarkStart w:id="100006" w:name="_Toc100006"/>
      <w:r>
        <w:rPr>
          <w:rFonts w:ascii="Calibri" w:eastAsia="SimHei"/>
          <w:b/>
          <w:bCs/>
          <w:color w:val="0A1628"/>
          <w:sz w:val="28"/>
          <w:szCs w:val="28"/>
        </w:rPr>
        <w:t xml:space="preserve">1D — Données de référence</w:t>
      </w:r>
      <w:bookmarkEnd w:id="100006"/>
    </w:p>
    <w:p>
      <w:pPr>
        <w:spacing w:line="312"/>
        <w:ind w:firstLine="480"/>
        <w:jc w:val="both"/>
      </w:pPr>
      <w:r>
        <w:rPr>
          <w:rFonts w:ascii="Calibri" w:eastAsia="Microsoft YaHei"/>
          <w:color w:val="1A2B40"/>
          <w:sz w:val="24"/>
          <w:szCs w:val="24"/>
        </w:rPr>
        <w:t xml:space="preserve">Insertion de 91 départements répartis en 13 catégories (stratégique, qualité, réglementaire, audit, QC lab, production, R&amp;D, utilités, maintenance, HSE, supply chain, commercial, finance, IT, transversal) croisés avec toutes les organisations existantes. Insertion de 11 définitions de types d’enregistrements système (CAPA, NCR, Deviation, Change Control, Audit, Risk, Training, Supplier, Batch Record, OOS/OOT, General) avec leurs flux de statut JSON et préfixes de code. Ajout de l’administrateur comme membre owner de son organisation.</w:t>
      </w:r>
    </w:p>
    <w:p>
      <w:pPr>
        <w:pStyle w:val="Heading2"/>
        <w:spacing w:after="140" w:before="280"/>
      </w:pPr>
      <w:bookmarkStart w:id="100007" w:name="_Toc100007"/>
      <w:r>
        <w:rPr>
          <w:rFonts w:ascii="Calibri" w:eastAsia="SimHei"/>
          <w:b/>
          <w:bCs/>
          <w:color w:val="0A1628"/>
          <w:sz w:val="28"/>
          <w:szCs w:val="28"/>
        </w:rPr>
        <w:t xml:space="preserve">1E — Colonnes additionnelles</w:t>
      </w:r>
      <w:bookmarkEnd w:id="100007"/>
    </w:p>
    <w:p>
      <w:pPr>
        <w:spacing w:line="312"/>
        <w:ind w:firstLine="480"/>
        <w:jc w:val="both"/>
      </w:pPr>
      <w:r>
        <w:rPr>
          <w:rFonts w:ascii="Calibri" w:eastAsia="Microsoft YaHei"/>
          <w:color w:val="1A2B40"/>
          <w:sz w:val="24"/>
          <w:szCs w:val="24"/>
        </w:rPr>
        <w:t xml:space="preserve">Ajout de colonnes aux tables existantes : organizations.settings (JSONB), profiles.job_title, profiles.avatar_url, profiles.last_login_at, sessions.expires_at, sessions.user_agent, sessions.ip. Chaque ALTER TABLE est enveloppé dans un bloc DO $$ BEGIN/EXCEPTION pour garantir l’idempotence. Le script se termine par un résumé affichant le nombre total de tables dans le schéma public.</w:t>
      </w:r>
    </w:p>
    <w:p>
      <w:pPr>
        <w:pStyle w:val="Heading1"/>
        <w:spacing w:after="180" w:before="360"/>
      </w:pPr>
      <w:bookmarkStart w:id="100008" w:name="_Toc100008"/>
      <w:r>
        <w:rPr>
          <w:rFonts w:ascii="Calibri" w:eastAsia="SimHei"/>
          <w:b/>
          <w:bCs/>
          <w:color w:val="0A1628"/>
          <w:sz w:val="32"/>
          <w:szCs w:val="32"/>
        </w:rPr>
        <w:t xml:space="preserve">Phase 2 : Services Supabase</w:t>
      </w:r>
      <w:bookmarkEnd w:id="100008"/>
    </w:p>
    <w:p>
      <w:pPr>
        <w:spacing w:line="312"/>
        <w:ind w:firstLine="480"/>
        <w:jc w:val="both"/>
      </w:pPr>
      <w:r>
        <w:rPr>
          <w:rFonts w:ascii="Calibri" w:eastAsia="Microsoft YaHei"/>
          <w:color w:val="1A2B40"/>
          <w:sz w:val="24"/>
          <w:szCs w:val="24"/>
        </w:rPr>
        <w:t xml:space="preserve">Cette phase active la couche de sécurité et les services Supabase nécessaires au fonctionnement multi-tenant et temps réel de l’application.</w:t>
      </w:r>
    </w:p>
    <w:p>
      <w:pPr>
        <w:pStyle w:val="Heading2"/>
        <w:spacing w:after="140" w:before="280"/>
      </w:pPr>
      <w:bookmarkStart w:id="100009" w:name="_Toc100009"/>
      <w:r>
        <w:rPr>
          <w:rFonts w:ascii="Calibri" w:eastAsia="SimHei"/>
          <w:b/>
          <w:bCs/>
          <w:color w:val="0A1628"/>
          <w:sz w:val="28"/>
          <w:szCs w:val="28"/>
        </w:rPr>
        <w:t xml:space="preserve">2A — Politiques RLS (Row Level Security)</w:t>
      </w:r>
      <w:bookmarkEnd w:id="100009"/>
    </w:p>
    <w:p>
      <w:pPr>
        <w:spacing w:line="312"/>
        <w:ind w:firstLine="480"/>
        <w:jc w:val="both"/>
      </w:pPr>
      <w:r>
        <w:rPr>
          <w:rFonts w:ascii="Calibri" w:eastAsia="Microsoft YaHei"/>
          <w:color w:val="1A2B40"/>
          <w:sz w:val="24"/>
          <w:szCs w:val="24"/>
        </w:rPr>
        <w:t xml:space="preserve">Activation de RLS sur toutes les 25 nouvelles tables + les tables existantes (organizations, profiles). Création de politiques basées sur l’organisation de l’utilisateur courant via la table organization_members. Chaque table recevra des politiques SELECT/INSERT/UPDATE/DELETE contrôlées par l’appartenance à l’organisation. Les tables système (audit_config, departments) auront des politiques de lecture globales. La fonction d’aide current_user_org_id() sera utilisée pour résoudre l’organisation depuis le cookie de session.</w:t>
      </w:r>
    </w:p>
    <w:p>
      <w:pPr>
        <w:pStyle w:val="Heading2"/>
        <w:spacing w:after="140" w:before="280"/>
      </w:pPr>
      <w:bookmarkStart w:id="100010" w:name="_Toc100010"/>
      <w:r>
        <w:rPr>
          <w:rFonts w:ascii="Calibri" w:eastAsia="SimHei"/>
          <w:b/>
          <w:bCs/>
          <w:color w:val="0A1628"/>
          <w:sz w:val="28"/>
          <w:szCs w:val="28"/>
        </w:rPr>
        <w:t xml:space="preserve">2B — Edge Functions</w:t>
      </w:r>
      <w:bookmarkEnd w:id="100010"/>
    </w:p>
    <w:p>
      <w:pPr>
        <w:spacing w:line="312"/>
        <w:ind w:firstLine="480"/>
        <w:jc w:val="both"/>
      </w:pPr>
      <w:r>
        <w:rPr>
          <w:rFonts w:ascii="Calibri" w:eastAsia="Microsoft YaHei"/>
          <w:color w:val="1A2B40"/>
          <w:sz w:val="24"/>
          <w:szCs w:val="24"/>
        </w:rPr>
        <w:t xml:space="preserve">Déploiement des Edge Functions Supabase pour la logique serveur proche des données. Les fonctions incluront : la résolution de session (vérification cookie bcrypt), la création automatique de numéros de référence pour les enregistrements QMS, la validation des transitions de statut selon les flux définis dans record_type_definitions.status_flow, et le déclenchement de notifications lors des changements de statut critiques.</w:t>
      </w:r>
    </w:p>
    <w:p>
      <w:pPr>
        <w:pStyle w:val="Heading2"/>
        <w:spacing w:after="140" w:before="280"/>
      </w:pPr>
      <w:bookmarkStart w:id="100011" w:name="_Toc100011"/>
      <w:r>
        <w:rPr>
          <w:rFonts w:ascii="Calibri" w:eastAsia="SimHei"/>
          <w:b/>
          <w:bCs/>
          <w:color w:val="0A1628"/>
          <w:sz w:val="28"/>
          <w:szCs w:val="28"/>
        </w:rPr>
        <w:t xml:space="preserve">2C — Realtime (abonnements temps réel)</w:t>
      </w:r>
      <w:bookmarkEnd w:id="100011"/>
    </w:p>
    <w:p>
      <w:pPr>
        <w:spacing w:line="312"/>
        <w:ind w:firstLine="480"/>
        <w:jc w:val="both"/>
      </w:pPr>
      <w:r>
        <w:rPr>
          <w:rFonts w:ascii="Calibri" w:eastAsia="Microsoft YaHei"/>
          <w:color w:val="1A2B40"/>
          <w:sz w:val="24"/>
          <w:szCs w:val="24"/>
        </w:rPr>
        <w:t xml:space="preserve">Configuration des canaux Realtime Supabase pour les mises à jour en temps réel. Les canaux incluront : notifications par utilisateur, mises à jour de statut des enregistrements QMS assignés, et alertes pour les échéances imminentes (CAPA, training, audits). Les abonnements seront filtrés par organization_id pour garantir l’isolement multi-tenant.</w:t>
      </w:r>
    </w:p>
    <w:p>
      <w:pPr>
        <w:pStyle w:val="Heading2"/>
        <w:spacing w:after="140" w:before="280"/>
      </w:pPr>
      <w:bookmarkStart w:id="100012" w:name="_Toc100012"/>
      <w:r>
        <w:rPr>
          <w:rFonts w:ascii="Calibri" w:eastAsia="SimHei"/>
          <w:b/>
          <w:bCs/>
          <w:color w:val="0A1628"/>
          <w:sz w:val="28"/>
          <w:szCs w:val="28"/>
        </w:rPr>
        <w:t xml:space="preserve">2D — Storage (gestion de fichiers)</w:t>
      </w:r>
      <w:bookmarkEnd w:id="100012"/>
    </w:p>
    <w:p>
      <w:pPr>
        <w:spacing w:line="312"/>
        <w:ind w:firstLine="480"/>
        <w:jc w:val="both"/>
      </w:pPr>
      <w:r>
        <w:rPr>
          <w:rFonts w:ascii="Calibri" w:eastAsia="Microsoft YaHei"/>
          <w:color w:val="1A2B40"/>
          <w:sz w:val="24"/>
          <w:szCs w:val="24"/>
        </w:rPr>
        <w:t xml:space="preserve">Configuration des buckets Supabase Storage pour les documents QMS. Création de buckets : documents (SOPs, procédures, formulaires), signatures (preuves de signature électronique), exports (rapports générés). Configuration des politiques d’accès par bucket avec authentification basée sur le cookie de session et l’appartenance organisationnelle.</w:t>
      </w:r>
    </w:p>
    <w:p>
      <w:pPr>
        <w:pStyle w:val="Heading1"/>
        <w:spacing w:after="180" w:before="360"/>
      </w:pPr>
      <w:bookmarkStart w:id="100013" w:name="_Toc100013"/>
      <w:r>
        <w:rPr>
          <w:rFonts w:ascii="Calibri" w:eastAsia="SimHei"/>
          <w:b/>
          <w:bCs/>
          <w:color w:val="0A1628"/>
          <w:sz w:val="32"/>
          <w:szCs w:val="32"/>
        </w:rPr>
        <w:t xml:space="preserve">Phase 3 : Modules UI</w:t>
      </w:r>
      <w:bookmarkEnd w:id="100013"/>
    </w:p>
    <w:p>
      <w:pPr>
        <w:spacing w:line="312"/>
        <w:ind w:firstLine="480"/>
        <w:jc w:val="both"/>
      </w:pPr>
      <w:r>
        <w:rPr>
          <w:rFonts w:ascii="Calibri" w:eastAsia="Microsoft YaHei"/>
          <w:color w:val="1A2B40"/>
          <w:sz w:val="24"/>
          <w:szCs w:val="24"/>
        </w:rPr>
        <w:t xml:space="preserve">Cette phase déploie les interfaces utilisateur pour chaque module fonctionnel QMS. Chaque module suit le pattern Layer 1 (template/approval) + Layer 2 (instance/exécution) avec signature électronique intégrée.</w:t>
      </w:r>
    </w:p>
    <w:p>
      <w:pPr>
        <w:pStyle w:val="Heading2"/>
        <w:spacing w:after="140" w:before="280"/>
      </w:pPr>
      <w:bookmarkStart w:id="100014" w:name="_Toc100014"/>
      <w:r>
        <w:rPr>
          <w:rFonts w:ascii="Calibri" w:eastAsia="SimHei"/>
          <w:b/>
          <w:bCs/>
          <w:color w:val="0A1628"/>
          <w:sz w:val="28"/>
          <w:szCs w:val="28"/>
        </w:rPr>
        <w:t xml:space="preserve">3A — Gestion documentaire</w:t>
      </w:r>
      <w:bookmarkEnd w:id="100014"/>
    </w:p>
    <w:p>
      <w:pPr>
        <w:spacing w:line="312"/>
        <w:ind w:firstLine="480"/>
        <w:jc w:val="both"/>
      </w:pPr>
      <w:r>
        <w:rPr>
          <w:rFonts w:ascii="Calibri" w:eastAsia="Microsoft YaHei"/>
          <w:color w:val="1A2B40"/>
          <w:sz w:val="24"/>
          <w:szCs w:val="24"/>
        </w:rPr>
        <w:t xml:space="preserve">Interface complète de gestion documentaire ISO 13485 §4.2.3 avec arborescence hiérarchique (4 niveaux), cycle de vie Draft→Under_Review→Approved→Effective→Obsolete, numérotation automatique, gestion des relations parent-enfant, prérequis documentaires, et contrôle de révision avec historique complet.</w:t>
      </w:r>
    </w:p>
    <w:p>
      <w:pPr>
        <w:pStyle w:val="Heading2"/>
        <w:spacing w:after="140" w:before="280"/>
      </w:pPr>
      <w:bookmarkStart w:id="100015" w:name="_Toc100015"/>
      <w:r>
        <w:rPr>
          <w:rFonts w:ascii="Calibri" w:eastAsia="SimHei"/>
          <w:b/>
          <w:bCs/>
          <w:color w:val="0A1628"/>
          <w:sz w:val="28"/>
          <w:szCs w:val="28"/>
        </w:rPr>
        <w:t xml:space="preserve">3B — CAPA (§8.5.2/8.5.3)</w:t>
      </w:r>
      <w:bookmarkEnd w:id="100015"/>
    </w:p>
    <w:p>
      <w:pPr>
        <w:spacing w:line="312"/>
        <w:ind w:firstLine="480"/>
        <w:jc w:val="both"/>
      </w:pPr>
      <w:r>
        <w:rPr>
          <w:rFonts w:ascii="Calibri" w:eastAsia="Microsoft YaHei"/>
          <w:color w:val="1A2B40"/>
          <w:sz w:val="24"/>
          <w:szCs w:val="24"/>
        </w:rPr>
        <w:t xml:space="preserve">Module CAPA avec flux Open→Investigation→Implementation→Effectiveness_Check→Closed. Analyse des causes racines (5 Whys, Ishikawa), catégories Man/Machine/Method/Material/Measurement/Environment, liaison automatique avec NCRs et audits, et vérification d’efficacité avec critères mesurables.</w:t>
      </w:r>
    </w:p>
    <w:p>
      <w:pPr>
        <w:pStyle w:val="Heading2"/>
        <w:spacing w:after="140" w:before="280"/>
      </w:pPr>
      <w:bookmarkStart w:id="100016" w:name="_Toc100016"/>
      <w:r>
        <w:rPr>
          <w:rFonts w:ascii="Calibri" w:eastAsia="SimHei"/>
          <w:b/>
          <w:bCs/>
          <w:color w:val="0A1628"/>
          <w:sz w:val="28"/>
          <w:szCs w:val="28"/>
        </w:rPr>
        <w:t xml:space="preserve">3C — Non-Conformités (§8.3)</w:t>
      </w:r>
      <w:bookmarkEnd w:id="100016"/>
    </w:p>
    <w:p>
      <w:pPr>
        <w:spacing w:line="312"/>
        <w:ind w:firstLine="480"/>
        <w:jc w:val="both"/>
      </w:pPr>
      <w:r>
        <w:rPr>
          <w:rFonts w:ascii="Calibri" w:eastAsia="Microsoft YaHei"/>
          <w:color w:val="1A2B40"/>
          <w:sz w:val="24"/>
          <w:szCs w:val="24"/>
        </w:rPr>
        <w:t xml:space="preserve">Module NCR avec gestion OOS/OOT intégrée, investigation Phase 1/Phase 2, dispositions (Use_As_Is, Rework, Scrap, Return, Quarantine), liaison automatique avec CAPAs, et évaluation d’impact produit avec traçabilité lot.</w:t>
      </w:r>
    </w:p>
    <w:p>
      <w:pPr>
        <w:pStyle w:val="Heading2"/>
        <w:spacing w:after="140" w:before="280"/>
      </w:pPr>
      <w:bookmarkStart w:id="100017" w:name="_Toc100017"/>
      <w:r>
        <w:rPr>
          <w:rFonts w:ascii="Calibri" w:eastAsia="SimHei"/>
          <w:b/>
          <w:bCs/>
          <w:color w:val="0A1628"/>
          <w:sz w:val="28"/>
          <w:szCs w:val="28"/>
        </w:rPr>
        <w:t xml:space="preserve">3D — Déviations</w:t>
      </w:r>
      <w:bookmarkEnd w:id="100017"/>
    </w:p>
    <w:p>
      <w:pPr>
        <w:spacing w:line="312"/>
        <w:ind w:firstLine="480"/>
        <w:jc w:val="both"/>
      </w:pPr>
      <w:r>
        <w:rPr>
          <w:rFonts w:ascii="Calibri" w:eastAsia="Microsoft YaHei"/>
          <w:color w:val="1A2B40"/>
          <w:sz w:val="24"/>
          <w:szCs w:val="24"/>
        </w:rPr>
        <w:t xml:space="preserve">Module de gestion des déviations planifiées et non planifiées avec évaluation de l’impact sur l’état validé, impact sur les dépôts réglementaires, gestion de la quarantaine, et liaison avec les CAPAs.</w:t>
      </w:r>
    </w:p>
    <w:p>
      <w:pPr>
        <w:pStyle w:val="Heading2"/>
        <w:spacing w:after="140" w:before="280"/>
      </w:pPr>
      <w:bookmarkStart w:id="100018" w:name="_Toc100018"/>
      <w:r>
        <w:rPr>
          <w:rFonts w:ascii="Calibri" w:eastAsia="SimHei"/>
          <w:b/>
          <w:bCs/>
          <w:color w:val="0A1628"/>
          <w:sz w:val="28"/>
          <w:szCs w:val="28"/>
        </w:rPr>
        <w:t xml:space="preserve">3E — Maîtrise des Changements (§7.3.7)</w:t>
      </w:r>
      <w:bookmarkEnd w:id="100018"/>
    </w:p>
    <w:p>
      <w:pPr>
        <w:spacing w:line="312"/>
        <w:ind w:firstLine="480"/>
        <w:jc w:val="both"/>
      </w:pPr>
      <w:r>
        <w:rPr>
          <w:rFonts w:ascii="Calibri" w:eastAsia="Microsoft YaHei"/>
          <w:color w:val="1A2B40"/>
          <w:sz w:val="24"/>
          <w:szCs w:val="24"/>
        </w:rPr>
        <w:t xml:space="preserve">Module Change Control avec flux Requested→Under_Review→Approved→In_Implementation→Completed, support des urgences, catégories étendues (Process, Equipment, Facility, Document, Computer_System, Organizational, Manufacturing, Regulatory, Supply_Chain), et évaluation d’impact sur les systèmes validés.</w:t>
      </w:r>
    </w:p>
    <w:p>
      <w:pPr>
        <w:pStyle w:val="Heading2"/>
        <w:spacing w:after="140" w:before="280"/>
      </w:pPr>
      <w:bookmarkStart w:id="100019" w:name="_Toc100019"/>
      <w:r>
        <w:rPr>
          <w:rFonts w:ascii="Calibri" w:eastAsia="SimHei"/>
          <w:b/>
          <w:bCs/>
          <w:color w:val="0A1628"/>
          <w:sz w:val="28"/>
          <w:szCs w:val="28"/>
        </w:rPr>
        <w:t xml:space="preserve">3F — Audits (§8.2.4)</w:t>
      </w:r>
      <w:bookmarkEnd w:id="100019"/>
    </w:p>
    <w:p>
      <w:pPr>
        <w:spacing w:line="312"/>
        <w:ind w:firstLine="480"/>
        <w:jc w:val="both"/>
      </w:pPr>
      <w:r>
        <w:rPr>
          <w:rFonts w:ascii="Calibri" w:eastAsia="Microsoft YaHei"/>
          <w:color w:val="1A2B40"/>
          <w:sz w:val="24"/>
          <w:szCs w:val="24"/>
        </w:rPr>
        <w:t xml:space="preserve">Module de planification et exécution d’audits internes, externes et fournisseurs avec gestion des constatations (Critical, Major, Minor, Observation), plan d’action correctif, et génération automatique de rapports d’audit.</w:t>
      </w:r>
    </w:p>
    <w:p>
      <w:pPr>
        <w:pStyle w:val="Heading2"/>
        <w:spacing w:after="140" w:before="280"/>
      </w:pPr>
      <w:bookmarkStart w:id="100020" w:name="_Toc100020"/>
      <w:r>
        <w:rPr>
          <w:rFonts w:ascii="Calibri" w:eastAsia="SimHei"/>
          <w:b/>
          <w:bCs/>
          <w:color w:val="0A1628"/>
          <w:sz w:val="28"/>
          <w:szCs w:val="28"/>
        </w:rPr>
        <w:t xml:space="preserve">3G — Formation (§6.2)</w:t>
      </w:r>
      <w:bookmarkEnd w:id="100020"/>
    </w:p>
    <w:p>
      <w:pPr>
        <w:spacing w:line="312"/>
        <w:ind w:firstLine="480"/>
        <w:jc w:val="both"/>
      </w:pPr>
      <w:r>
        <w:rPr>
          <w:rFonts w:ascii="Calibri" w:eastAsia="Microsoft YaHei"/>
          <w:color w:val="1A2B40"/>
          <w:sz w:val="24"/>
          <w:szCs w:val="24"/>
        </w:rPr>
        <w:t xml:space="preserve">Module de gestion de la formation avec types (Onboarding, SOP, Regulatory, Skill, Certification), planification, suivi des échéances, et liaison avec les documents de référence (matrice de compétences).</w:t>
      </w:r>
    </w:p>
    <w:p>
      <w:pPr>
        <w:pStyle w:val="Heading2"/>
        <w:spacing w:after="140" w:before="280"/>
      </w:pPr>
      <w:bookmarkStart w:id="100021" w:name="_Toc100021"/>
      <w:r>
        <w:rPr>
          <w:rFonts w:ascii="Calibri" w:eastAsia="SimHei"/>
          <w:b/>
          <w:bCs/>
          <w:color w:val="0A1628"/>
          <w:sz w:val="28"/>
          <w:szCs w:val="28"/>
        </w:rPr>
        <w:t xml:space="preserve">3H — Risques (ISO 14971) et Fournisseurs (§7.4.1)</w:t>
      </w:r>
      <w:bookmarkEnd w:id="100021"/>
    </w:p>
    <w:p>
      <w:pPr>
        <w:spacing w:line="312"/>
        <w:ind w:firstLine="480"/>
        <w:jc w:val="both"/>
      </w:pPr>
      <w:r>
        <w:rPr>
          <w:rFonts w:ascii="Calibri" w:eastAsia="Microsoft YaHei"/>
          <w:color w:val="1A2B40"/>
          <w:sz w:val="24"/>
          <w:szCs w:val="24"/>
        </w:rPr>
        <w:t xml:space="preserve">Module de gestion des risques avec matrice RPN (Probability × Impact × Detectability), niveaux Low/Medium/High/Critical, plan de mitigation, et risque résiduel. Module fournisseurs avec qualification (On-Site Audit, Questionnaire, Certificate Review), scoring de performance, et gestion des certificats.</w:t>
      </w:r>
    </w:p>
    <w:p>
      <w:pPr>
        <w:pStyle w:val="Heading1"/>
        <w:spacing w:after="180" w:before="360"/>
      </w:pPr>
      <w:bookmarkStart w:id="100022" w:name="_Toc100022"/>
      <w:r>
        <w:rPr>
          <w:rFonts w:ascii="Calibri" w:eastAsia="SimHei"/>
          <w:b/>
          <w:bCs/>
          <w:color w:val="0A1628"/>
          <w:sz w:val="32"/>
          <w:szCs w:val="32"/>
        </w:rPr>
        <w:t xml:space="preserve">Phase 4 : Fonctionnalités transversales</w:t>
      </w:r>
      <w:bookmarkEnd w:id="100022"/>
    </w:p>
    <w:p>
      <w:pPr>
        <w:pStyle w:val="Heading2"/>
        <w:spacing w:after="140" w:before="280"/>
      </w:pPr>
      <w:bookmarkStart w:id="100023" w:name="_Toc100023"/>
      <w:r>
        <w:rPr>
          <w:rFonts w:ascii="Calibri" w:eastAsia="SimHei"/>
          <w:b/>
          <w:bCs/>
          <w:color w:val="0A1628"/>
          <w:sz w:val="28"/>
          <w:szCs w:val="28"/>
        </w:rPr>
        <w:t xml:space="preserve">4A — Notifications</w:t>
      </w:r>
      <w:bookmarkEnd w:id="100023"/>
    </w:p>
    <w:p>
      <w:pPr>
        <w:spacing w:line="312"/>
        <w:ind w:firstLine="480"/>
        <w:jc w:val="both"/>
      </w:pPr>
      <w:r>
        <w:rPr>
          <w:rFonts w:ascii="Calibri" w:eastAsia="Microsoft YaHei"/>
          <w:color w:val="1A2B40"/>
          <w:sz w:val="24"/>
          <w:szCs w:val="24"/>
        </w:rPr>
        <w:t xml:space="preserve">Système de notifications multi-canal avec prioritisation (info, warning, error, success), notifications in-app (table notifications avec profil_id), et préparation pour email/push. Déclenchement automatique sur les événements critiques : assignation, échéance imminente, changement de statut, signature requise, et rappels périodiques.</w:t>
      </w:r>
    </w:p>
    <w:p>
      <w:pPr>
        <w:pStyle w:val="Heading2"/>
        <w:spacing w:after="140" w:before="280"/>
      </w:pPr>
      <w:bookmarkStart w:id="100024" w:name="_Toc100024"/>
      <w:r>
        <w:rPr>
          <w:rFonts w:ascii="Calibri" w:eastAsia="SimHei"/>
          <w:b/>
          <w:bCs/>
          <w:color w:val="0A1628"/>
          <w:sz w:val="28"/>
          <w:szCs w:val="28"/>
        </w:rPr>
        <w:t xml:space="preserve">4B — Rapports planifiés</w:t>
      </w:r>
      <w:bookmarkEnd w:id="100024"/>
    </w:p>
    <w:p>
      <w:pPr>
        <w:spacing w:line="312"/>
        <w:ind w:firstLine="480"/>
        <w:jc w:val="both"/>
      </w:pPr>
      <w:r>
        <w:rPr>
          <w:rFonts w:ascii="Calibri" w:eastAsia="Microsoft YaHei"/>
          <w:color w:val="1A2B40"/>
          <w:sz w:val="24"/>
          <w:szCs w:val="24"/>
        </w:rPr>
        <w:t xml:space="preserve">Moteur de rapports planifiés avec fréquences (daily, weekly, monthly, quarterly), formats de sortie (CSV, HTML, PDF), et configuration JSON pour les paramètres. Rapports prédéfinis : KPIs qualité, audit trail, échéances, performance fournisseurs, et tableau de bord conformité.</w:t>
      </w:r>
    </w:p>
    <w:p>
      <w:pPr>
        <w:pStyle w:val="Heading2"/>
        <w:spacing w:after="140" w:before="280"/>
      </w:pPr>
      <w:bookmarkStart w:id="100025" w:name="_Toc100025"/>
      <w:r>
        <w:rPr>
          <w:rFonts w:ascii="Calibri" w:eastAsia="SimHei"/>
          <w:b/>
          <w:bCs/>
          <w:color w:val="0A1628"/>
          <w:sz w:val="28"/>
          <w:szCs w:val="28"/>
        </w:rPr>
        <w:t xml:space="preserve">4C — Recherche globale</w:t>
      </w:r>
      <w:bookmarkEnd w:id="100025"/>
    </w:p>
    <w:p>
      <w:pPr>
        <w:spacing w:line="312"/>
        <w:ind w:firstLine="480"/>
        <w:jc w:val="both"/>
      </w:pPr>
      <w:r>
        <w:rPr>
          <w:rFonts w:ascii="Calibri" w:eastAsia="Microsoft YaHei"/>
          <w:color w:val="1A2B40"/>
          <w:sz w:val="24"/>
          <w:szCs w:val="24"/>
        </w:rPr>
        <w:t xml:space="preserve">Moteur de recherche plein texte sur tous les enregistrements QMS avec filtres par type, statut, département, période, et assignation. Indexation sur les champs textuels principaux (titre, description, numéro de référence) avec support des opérateurs booléens.</w:t>
      </w:r>
    </w:p>
    <w:p>
      <w:pPr>
        <w:pStyle w:val="Heading2"/>
        <w:spacing w:after="140" w:before="280"/>
      </w:pPr>
      <w:bookmarkStart w:id="100026" w:name="_Toc100026"/>
      <w:r>
        <w:rPr>
          <w:rFonts w:ascii="Calibri" w:eastAsia="SimHei"/>
          <w:b/>
          <w:bCs/>
          <w:color w:val="0A1628"/>
          <w:sz w:val="28"/>
          <w:szCs w:val="28"/>
        </w:rPr>
        <w:t xml:space="preserve">4D — Export de données</w:t>
      </w:r>
      <w:bookmarkEnd w:id="100026"/>
    </w:p>
    <w:p>
      <w:pPr>
        <w:spacing w:line="312"/>
        <w:ind w:firstLine="480"/>
        <w:jc w:val="both"/>
      </w:pPr>
      <w:r>
        <w:rPr>
          <w:rFonts w:ascii="Calibri" w:eastAsia="Microsoft YaHei"/>
          <w:color w:val="1A2B40"/>
          <w:sz w:val="24"/>
          <w:szCs w:val="24"/>
        </w:rPr>
        <w:t xml:space="preserve">Fonctionnalité d’export dans les formats CSV, PDF et Excel pour tous les modules QMS. Inclusion des métadonnées d’audit (date de création, modificateur, signature) et traçabilité complète des enregistrements.</w:t>
      </w:r>
    </w:p>
    <w:p>
      <w:pPr>
        <w:pStyle w:val="Heading2"/>
        <w:spacing w:after="140" w:before="280"/>
      </w:pPr>
      <w:bookmarkStart w:id="100027" w:name="_Toc100027"/>
      <w:r>
        <w:rPr>
          <w:rFonts w:ascii="Calibri" w:eastAsia="SimHei"/>
          <w:b/>
          <w:bCs/>
          <w:color w:val="0A1628"/>
          <w:sz w:val="28"/>
          <w:szCs w:val="28"/>
        </w:rPr>
        <w:t xml:space="preserve">4E — Tableaux de bord</w:t>
      </w:r>
      <w:bookmarkEnd w:id="100027"/>
    </w:p>
    <w:p>
      <w:pPr>
        <w:spacing w:line="312"/>
        <w:ind w:firstLine="480"/>
        <w:jc w:val="both"/>
      </w:pPr>
      <w:r>
        <w:rPr>
          <w:rFonts w:ascii="Calibri" w:eastAsia="Microsoft YaHei"/>
          <w:color w:val="1A2B40"/>
          <w:sz w:val="24"/>
          <w:szCs w:val="24"/>
        </w:rPr>
        <w:t xml:space="preserve">Tableaux de bord KPI avec indicateurs clés : CAPAs ouverts par priorité, NCRs par sévérité, taux de conformité formation, échéances imminentes, performance fournisseurs, et matrice de risques. Graphiques interactifs avec filtres par période et département.</w:t>
      </w:r>
    </w:p>
    <w:p>
      <w:pPr>
        <w:pStyle w:val="Heading1"/>
        <w:spacing w:after="180" w:before="360"/>
      </w:pPr>
      <w:bookmarkStart w:id="100028" w:name="_Toc100028"/>
      <w:r>
        <w:rPr>
          <w:rFonts w:ascii="Calibri" w:eastAsia="SimHei"/>
          <w:b/>
          <w:bCs/>
          <w:color w:val="0A1628"/>
          <w:sz w:val="32"/>
          <w:szCs w:val="32"/>
        </w:rPr>
        <w:t xml:space="preserve">Phase 5 : Sécurité et conformité</w:t>
      </w:r>
      <w:bookmarkEnd w:id="100028"/>
    </w:p>
    <w:p>
      <w:pPr>
        <w:pStyle w:val="Heading2"/>
        <w:spacing w:after="140" w:before="280"/>
      </w:pPr>
      <w:bookmarkStart w:id="100029" w:name="_Toc100029"/>
      <w:r>
        <w:rPr>
          <w:rFonts w:ascii="Calibri" w:eastAsia="SimHei"/>
          <w:b/>
          <w:bCs/>
          <w:color w:val="0A1628"/>
          <w:sz w:val="28"/>
          <w:szCs w:val="28"/>
        </w:rPr>
        <w:t xml:space="preserve">5A — Signatures électroniques (21 CFR Part 11 §11.200)</w:t>
      </w:r>
      <w:bookmarkEnd w:id="100029"/>
    </w:p>
    <w:p>
      <w:pPr>
        <w:spacing w:line="312"/>
        <w:ind w:firstLine="480"/>
        <w:jc w:val="both"/>
      </w:pPr>
      <w:r>
        <w:rPr>
          <w:rFonts w:ascii="Calibri" w:eastAsia="Microsoft YaHei"/>
          <w:color w:val="1A2B40"/>
          <w:sz w:val="24"/>
          <w:szCs w:val="24"/>
        </w:rPr>
        <w:t xml:space="preserve">Implémentation complète des signatures électroniques avec : hachage SHA-256 du contenu signé + intention de signature + horodatage, stockage dans electronic_signatures avec type (approval, rejection, review, verification), mécanisme de révocation, et traçabilité complète (signataire, rôle, user_agent, IP).</w:t>
      </w:r>
    </w:p>
    <w:p>
      <w:pPr>
        <w:pStyle w:val="Heading2"/>
        <w:spacing w:after="140" w:before="280"/>
      </w:pPr>
      <w:bookmarkStart w:id="100030" w:name="_Toc100030"/>
      <w:r>
        <w:rPr>
          <w:rFonts w:ascii="Calibri" w:eastAsia="SimHei"/>
          <w:b/>
          <w:bCs/>
          <w:color w:val="0A1628"/>
          <w:sz w:val="28"/>
          <w:szCs w:val="28"/>
        </w:rPr>
        <w:t xml:space="preserve">5B — Audit trail blockchain</w:t>
      </w:r>
      <w:bookmarkEnd w:id="100030"/>
    </w:p>
    <w:p>
      <w:pPr>
        <w:spacing w:line="312"/>
        <w:ind w:firstLine="480"/>
        <w:jc w:val="both"/>
      </w:pPr>
      <w:r>
        <w:rPr>
          <w:rFonts w:ascii="Calibri" w:eastAsia="Microsoft YaHei"/>
          <w:color w:val="1A2B40"/>
          <w:sz w:val="24"/>
          <w:szCs w:val="24"/>
        </w:rPr>
        <w:t xml:space="preserve">Système d’audit trail inviolable avec chaîne de hachage HMAC-SHA256 : chaque entrée référence le hachage de l’entrée précédente (previous_hash), créant une chaîne vérifiable. La fonction verify_audit_integrity() permet de détecter toute altération. La table audit_trails est protégée en append-only (ni UPDATE ni DELETE).</w:t>
      </w:r>
    </w:p>
    <w:p>
      <w:pPr>
        <w:pStyle w:val="Heading2"/>
        <w:spacing w:after="140" w:before="280"/>
      </w:pPr>
      <w:bookmarkStart w:id="100031" w:name="_Toc100031"/>
      <w:r>
        <w:rPr>
          <w:rFonts w:ascii="Calibri" w:eastAsia="SimHei"/>
          <w:b/>
          <w:bCs/>
          <w:color w:val="0A1628"/>
          <w:sz w:val="28"/>
          <w:szCs w:val="28"/>
        </w:rPr>
        <w:t xml:space="preserve">5C — Maker-Checker</w:t>
      </w:r>
      <w:bookmarkEnd w:id="100031"/>
    </w:p>
    <w:p>
      <w:pPr>
        <w:spacing w:line="312"/>
        <w:ind w:firstLine="480"/>
        <w:jc w:val="both"/>
      </w:pPr>
      <w:r>
        <w:rPr>
          <w:rFonts w:ascii="Calibri" w:eastAsia="Microsoft YaHei"/>
          <w:color w:val="1A2B40"/>
          <w:sz w:val="24"/>
          <w:szCs w:val="24"/>
        </w:rPr>
        <w:t xml:space="preserve">Ségrégation des tâches obligatoire : le créateur d’un enregistrement ne peut pas être son propre approbateur. Le trigger enforce_maker_checker() vérifie automatiquement que created_by et approved_by sont différents, conformément à 21 CFR Part 11 §11.10(g).</w:t>
      </w:r>
    </w:p>
    <w:p>
      <w:pPr>
        <w:pStyle w:val="Heading2"/>
        <w:spacing w:after="140" w:before="280"/>
      </w:pPr>
      <w:bookmarkStart w:id="100032" w:name="_Toc100032"/>
      <w:r>
        <w:rPr>
          <w:rFonts w:ascii="Calibri" w:eastAsia="SimHei"/>
          <w:b/>
          <w:bCs/>
          <w:color w:val="0A1628"/>
          <w:sz w:val="28"/>
          <w:szCs w:val="28"/>
        </w:rPr>
        <w:t xml:space="preserve">5D — Conformité réglementaire complète</w:t>
      </w:r>
      <w:bookmarkEnd w:id="100032"/>
    </w:p>
    <w:p>
      <w:pPr>
        <w:spacing w:line="312"/>
        <w:ind w:firstLine="480"/>
        <w:jc w:val="both"/>
      </w:pPr>
      <w:r>
        <w:rPr>
          <w:rFonts w:ascii="Calibri" w:eastAsia="Microsoft YaHei"/>
          <w:color w:val="1A2B40"/>
          <w:sz w:val="24"/>
          <w:szCs w:val="24"/>
        </w:rPr>
        <w:t xml:space="preserve">Vérification et validation finales de l’ensemble des exigences : ISO 13485 (gestion de la qualité dispositifs médicaux), ISO 14971 (gestion des risques), 21 CFR Part 11 (enregistrements électroniques et signatures électroniques). Génération du rapport de conformité et préparation pour les audits réglementaires.</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2026-07-12T18:50:02.819Z</dcterms:created>
  <dcterms:modified xsi:type="dcterms:W3CDTF">2026-07-12T18:50:02.819Z</dcterms:modified>
</cp:coreProperties>
</file>

<file path=docProps/custom.xml><?xml version="1.0" encoding="utf-8"?>
<Properties xmlns="http://schemas.openxmlformats.org/officeDocument/2006/custom-properties" xmlns:vt="http://schemas.openxmlformats.org/officeDocument/2006/docPropsVTypes"/>
</file>