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Исследование</w:t>
      </w:r>
      <w:r>
        <w:t xml:space="preserve"> </w:t>
      </w:r>
      <w:r>
        <w:t xml:space="preserve">работоспособности</w:t>
      </w:r>
      <w:r>
        <w:t xml:space="preserve"> </w:t>
      </w:r>
      <w:r>
        <w:t xml:space="preserve">сети</w:t>
      </w:r>
      <w:r>
        <w:t xml:space="preserve"> </w:t>
      </w:r>
      <w:r>
        <w:t xml:space="preserve">Fast</w:t>
      </w:r>
      <w:r>
        <w:t xml:space="preserve"> </w:t>
      </w:r>
      <w:r>
        <w:t xml:space="preserve">Ethernet</w:t>
      </w:r>
    </w:p>
    <w:p>
      <w:pPr>
        <w:pStyle w:val="Author"/>
      </w:pPr>
      <w:r>
        <w:t xml:space="preserve">Хамди</w:t>
      </w:r>
      <w:r>
        <w:t xml:space="preserve"> </w:t>
      </w:r>
      <w:r>
        <w:t xml:space="preserve">Мохаммад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принципов технологий Ethernet и Fast Ethernet, а также практическое освоение методик оценки работоспособности сети, построенной на базе технологии Fast Ethernet.</w:t>
      </w:r>
    </w:p>
    <w:bookmarkEnd w:id="20"/>
    <w:bookmarkStart w:id="45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26" w:name="варианты-заданий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Варианты заданий</w:t>
      </w:r>
    </w:p>
    <w:p>
      <w:pPr>
        <w:pStyle w:val="FirstParagraph"/>
      </w:pPr>
      <w:r>
        <w:t xml:space="preserve">В ходе работы были рассмотрены шесть вариантов построения сети Fast Ethernet с использованием кабеля</w:t>
      </w:r>
      <w:r>
        <w:t xml:space="preserve"> </w:t>
      </w:r>
      <w:r>
        <w:rPr>
          <w:bCs/>
          <w:b/>
        </w:rPr>
        <w:t xml:space="preserve">100BASE-TX</w:t>
      </w:r>
      <w:r>
        <w:t xml:space="preserve">.</w:t>
      </w:r>
      <w:r>
        <w:br/>
      </w:r>
      <w:r>
        <w:t xml:space="preserve">Для каждого варианта задана длина шести сегментов, соединённых через повторители класса II.</w:t>
      </w:r>
      <w:r>
        <w:br/>
      </w:r>
      <w:r>
        <w:t xml:space="preserve">Анализ выполнялся по двум моделям: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Первая модель</w:t>
      </w:r>
      <w:r>
        <w:t xml:space="preserve"> </w:t>
      </w:r>
      <w:r>
        <w:t xml:space="preserve">— проверка работоспособности сети по суммарной физической длине сегментов;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Вторая модель</w:t>
      </w:r>
      <w:r>
        <w:t xml:space="preserve"> </w:t>
      </w:r>
      <w:r>
        <w:t xml:space="preserve">— проверка по суммарной задержке распространения сигнала с учётом оборудования и кабелей.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2530230"/>
            <wp:effectExtent b="0" l="0" r="0" t="0"/>
            <wp:docPr descr="Рис. 1: Топология сети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0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Топология сети</w:t>
      </w:r>
    </w:p>
    <w:bookmarkStart w:id="25" w:name="таблица-1-параметры-сегментов-сети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Таблица 1 – Параметры сегментов сети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Сегмент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Сегмент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Сегмент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Сегмент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Сегмент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Сегмент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96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92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80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5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97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97 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95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85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85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98 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60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95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10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5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100 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70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65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10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4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80 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60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95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10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15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100 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70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98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10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70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100 м</w:t>
            </w:r>
          </w:p>
        </w:tc>
      </w:tr>
    </w:tbl>
    <w:bookmarkEnd w:id="25"/>
    <w:bookmarkEnd w:id="26"/>
    <w:bookmarkStart w:id="29" w:name="вариант-1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Вариант 1</w:t>
      </w:r>
    </w:p>
    <w:bookmarkStart w:id="27" w:name="первая-модель-анализ-по-длине-сегментов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Первая модель (анализ по длине сегментов)</w:t>
      </w:r>
    </w:p>
    <w:p>
      <w:pPr>
        <w:pStyle w:val="FirstParagraph"/>
      </w:pPr>
      <w:r>
        <w:t xml:space="preserve">Во всех сегментах используется кабель</w:t>
      </w:r>
      <w:r>
        <w:t xml:space="preserve"> </w:t>
      </w:r>
      <w:r>
        <w:rPr>
          <w:bCs/>
          <w:b/>
        </w:rPr>
        <w:t xml:space="preserve">100BASE-TX</w:t>
      </w:r>
      <w:r>
        <w:t xml:space="preserve">.</w:t>
      </w:r>
      <w:r>
        <w:br/>
      </w:r>
      <w:r>
        <w:t xml:space="preserve">Наибольшая длина соединения между конечными узлами достигается по маршрутам:</w:t>
      </w:r>
    </w:p>
    <w:p>
      <w:pPr>
        <w:numPr>
          <w:ilvl w:val="0"/>
          <w:numId w:val="1002"/>
        </w:numPr>
        <w:pStyle w:val="Compact"/>
      </w:pPr>
      <w:r>
        <w:t xml:space="preserve">1 – 4 – 5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1 – 4 – 6</w:t>
      </w:r>
    </w:p>
    <w:p>
      <w:pPr>
        <w:pStyle w:val="FirstParagraph"/>
      </w:pPr>
      <w:r>
        <w:t xml:space="preserve">Расчёт максимальной длины:</w:t>
      </w:r>
    </w:p>
    <w:p>
      <w:pPr>
        <w:pStyle w:val="SourceCode"/>
      </w:pPr>
      <w:r>
        <w:rPr>
          <w:rStyle w:val="VerbatimChar"/>
        </w:rPr>
        <w:t xml:space="preserve">96 м + 5 м + 97 м = 198 м</w:t>
      </w:r>
    </w:p>
    <w:p>
      <w:pPr>
        <w:pStyle w:val="FirstParagraph"/>
      </w:pPr>
      <w:r>
        <w:t xml:space="preserve">Для сети Fast Ethernet с двумя повторителями класса II допустимая суммарная длина составляет</w:t>
      </w:r>
      <w:r>
        <w:t xml:space="preserve"> </w:t>
      </w:r>
      <w:r>
        <w:rPr>
          <w:bCs/>
          <w:b/>
        </w:rPr>
        <w:t xml:space="preserve">205 м</w:t>
      </w:r>
      <w:r>
        <w:t xml:space="preserve">.</w:t>
      </w:r>
      <w:r>
        <w:br/>
      </w:r>
      <w:r>
        <w:t xml:space="preserve">Полученное значение меньше допустимого.</w:t>
      </w:r>
    </w:p>
    <w:p>
      <w:pPr>
        <w:pStyle w:val="BodyText"/>
      </w:pPr>
      <w:r>
        <w:rPr>
          <w:bCs/>
          <w:b/>
        </w:rPr>
        <w:t xml:space="preserve">Вывод:</w:t>
      </w:r>
      <w:r>
        <w:t xml:space="preserve"> </w:t>
      </w:r>
      <w:r>
        <w:t xml:space="preserve">сеть по первой модели является работоспособной.</w:t>
      </w:r>
    </w:p>
    <w:bookmarkEnd w:id="27"/>
    <w:bookmarkStart w:id="28" w:name="Xbd84df3b5ba4669a8d396bcea496e79b5b5da9d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Вторая модель (анализ по задержке распространения сигнала)</w:t>
      </w:r>
    </w:p>
    <w:p>
      <w:pPr>
        <w:pStyle w:val="FirstParagraph"/>
      </w:pPr>
      <w:r>
        <w:t xml:space="preserve">Расчёт выполняется с учётом задержек на терминалах, кабелях и повторителях.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Элемент сети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Задержка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Пара терминалов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1 (96 м, Cat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106,752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Повторитель класса II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4 (5 м, Cat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Повторитель класса II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5 (97 м, Cat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107,864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 (+4 резерв)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508,176</w:t>
            </w:r>
          </w:p>
        </w:tc>
      </w:tr>
    </w:tbl>
    <w:p>
      <w:pPr>
        <w:pStyle w:val="BodyText"/>
      </w:pPr>
      <w:r>
        <w:t xml:space="preserve">Полученное значение не превышает предельно допустимое.</w:t>
      </w:r>
    </w:p>
    <w:p>
      <w:pPr>
        <w:pStyle w:val="BodyText"/>
      </w:pPr>
      <w:r>
        <w:rPr>
          <w:bCs/>
          <w:b/>
        </w:rPr>
        <w:t xml:space="preserve">Общий вывод по варианту 1:</w:t>
      </w:r>
      <w:r>
        <w:t xml:space="preserve"> </w:t>
      </w:r>
      <w:r>
        <w:t xml:space="preserve">сеть работоспособна по обеим моделям.</w:t>
      </w:r>
    </w:p>
    <w:bookmarkEnd w:id="28"/>
    <w:bookmarkEnd w:id="29"/>
    <w:bookmarkStart w:id="32" w:name="вариант-2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Вариант 2</w:t>
      </w:r>
    </w:p>
    <w:bookmarkStart w:id="30" w:name="первая-модель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Первая модель</w:t>
      </w:r>
    </w:p>
    <w:p>
      <w:pPr>
        <w:pStyle w:val="FirstParagraph"/>
      </w:pPr>
      <w:r>
        <w:t xml:space="preserve">Максимальная длина соединения наблюдается по маршруту</w:t>
      </w:r>
      <w:r>
        <w:t xml:space="preserve"> </w:t>
      </w:r>
      <w:r>
        <w:rPr>
          <w:bCs/>
          <w:b/>
        </w:rPr>
        <w:t xml:space="preserve">1 – 4 – 6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95 м + 90 м + 98 м = 283 м</w:t>
      </w:r>
    </w:p>
    <w:p>
      <w:pPr>
        <w:pStyle w:val="FirstParagraph"/>
      </w:pPr>
      <w:r>
        <w:t xml:space="preserve">Допустимое значение для двух повторителей класса II составляет</w:t>
      </w:r>
      <w:r>
        <w:t xml:space="preserve"> </w:t>
      </w:r>
      <w:r>
        <w:rPr>
          <w:bCs/>
          <w:b/>
        </w:rPr>
        <w:t xml:space="preserve">205 м</w:t>
      </w:r>
      <w:r>
        <w:t xml:space="preserve">, что значительно меньше полученного результата.</w:t>
      </w:r>
    </w:p>
    <w:p>
      <w:pPr>
        <w:pStyle w:val="BodyText"/>
      </w:pPr>
      <w:r>
        <w:rPr>
          <w:bCs/>
          <w:b/>
        </w:rPr>
        <w:t xml:space="preserve">Вывод:</w:t>
      </w:r>
      <w:r>
        <w:t xml:space="preserve"> </w:t>
      </w:r>
      <w:r>
        <w:t xml:space="preserve">сеть неработоспособна по первой модели.</w:t>
      </w:r>
    </w:p>
    <w:bookmarkEnd w:id="30"/>
    <w:bookmarkStart w:id="31" w:name="вторая-модель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Вторая модель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Элемент сети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Задержка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Пара терминалов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1 (95 м, Cat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105,64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Повторитель класса II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4 (90 м, Cat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Повторитель класса II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6 (98 м, Cat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108,976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 (+4 резерв)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602,696</w:t>
            </w:r>
          </w:p>
        </w:tc>
      </w:tr>
    </w:tbl>
    <w:p>
      <w:pPr>
        <w:pStyle w:val="BodyText"/>
      </w:pPr>
      <w:r>
        <w:t xml:space="preserve">Суммарная задержка превышает допустимые значения.</w:t>
      </w:r>
    </w:p>
    <w:p>
      <w:pPr>
        <w:pStyle w:val="BodyText"/>
      </w:pPr>
      <w:r>
        <w:rPr>
          <w:bCs/>
          <w:b/>
        </w:rPr>
        <w:t xml:space="preserve">Общий вывод по варианту 2:</w:t>
      </w:r>
      <w:r>
        <w:t xml:space="preserve"> </w:t>
      </w:r>
      <w:r>
        <w:t xml:space="preserve">сеть неработоспособна по обеим моделям.</w:t>
      </w:r>
    </w:p>
    <w:bookmarkEnd w:id="31"/>
    <w:bookmarkEnd w:id="32"/>
    <w:bookmarkStart w:id="35" w:name="вариант-3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Вариант 3</w:t>
      </w:r>
    </w:p>
    <w:bookmarkStart w:id="33" w:name="первая-модель-1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Первая модель</w:t>
      </w:r>
    </w:p>
    <w:p>
      <w:pPr>
        <w:pStyle w:val="FirstParagraph"/>
      </w:pPr>
      <w:r>
        <w:t xml:space="preserve">Максимальная длина соединения:</w:t>
      </w:r>
    </w:p>
    <w:p>
      <w:pPr>
        <w:pStyle w:val="SourceCode"/>
      </w:pPr>
      <w:r>
        <w:rPr>
          <w:rStyle w:val="VerbatimChar"/>
        </w:rPr>
        <w:t xml:space="preserve">95 м + 5 м + 100 м = 200 м</w:t>
      </w:r>
    </w:p>
    <w:p>
      <w:pPr>
        <w:pStyle w:val="FirstParagraph"/>
      </w:pPr>
      <w:r>
        <w:t xml:space="preserve">Полученное значение не превышает допустимый предел.</w:t>
      </w:r>
    </w:p>
    <w:bookmarkEnd w:id="33"/>
    <w:bookmarkStart w:id="34" w:name="вторая-модель-1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Вторая модель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Элемент сети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Задержка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Пара терминалов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2 (95 м, Cat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105,64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Повторитель класса II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4 (5 м, Cat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Повторитель класса II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6 (100 м, Cat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 (+4 резерв)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510,4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Общий вывод:</w:t>
      </w:r>
      <w:r>
        <w:t xml:space="preserve"> </w:t>
      </w:r>
      <w:r>
        <w:t xml:space="preserve">сеть работоспособна по обеим моделям.</w:t>
      </w:r>
    </w:p>
    <w:bookmarkEnd w:id="34"/>
    <w:bookmarkEnd w:id="35"/>
    <w:bookmarkStart w:id="38" w:name="вариант-4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Вариант 4</w:t>
      </w:r>
    </w:p>
    <w:bookmarkStart w:id="36" w:name="первая-модель-2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Первая модель</w:t>
      </w:r>
    </w:p>
    <w:p>
      <w:pPr>
        <w:pStyle w:val="SourceCode"/>
      </w:pPr>
      <w:r>
        <w:rPr>
          <w:rStyle w:val="VerbatimChar"/>
        </w:rPr>
        <w:t xml:space="preserve">70 м + 4 м + 90 м = 164 м</w:t>
      </w:r>
    </w:p>
    <w:bookmarkEnd w:id="36"/>
    <w:bookmarkStart w:id="37" w:name="вторая-модель-2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Вторая модель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Элемент сети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Задержка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Пара терминалов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1 (70 м, Cat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77,84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Повторитель класса II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4 (4 м, Cat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Повторитель класса II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6 (90 м, Cat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 (+4 резерв)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470,368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Общий вывод:</w:t>
      </w:r>
      <w:r>
        <w:t xml:space="preserve"> </w:t>
      </w:r>
      <w:r>
        <w:t xml:space="preserve">сеть работоспособна по обеим моделям.</w:t>
      </w:r>
    </w:p>
    <w:bookmarkEnd w:id="37"/>
    <w:bookmarkEnd w:id="38"/>
    <w:bookmarkStart w:id="41" w:name="вариант-5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Вариант 5</w:t>
      </w:r>
    </w:p>
    <w:bookmarkStart w:id="39" w:name="первая-модель-3"/>
    <w:p>
      <w:pPr>
        <w:pStyle w:val="Heading3"/>
      </w:pPr>
      <w:r>
        <w:rPr>
          <w:rStyle w:val="SectionNumber"/>
        </w:rPr>
        <w:t xml:space="preserve">2.6.1</w:t>
      </w:r>
      <w:r>
        <w:tab/>
      </w:r>
      <w:r>
        <w:t xml:space="preserve">Первая модель</w:t>
      </w:r>
    </w:p>
    <w:p>
      <w:pPr>
        <w:pStyle w:val="SourceCode"/>
      </w:pPr>
      <w:r>
        <w:rPr>
          <w:rStyle w:val="VerbatimChar"/>
        </w:rPr>
        <w:t xml:space="preserve">95 м + 15 м + 100 м = 210 м</w:t>
      </w:r>
    </w:p>
    <w:p>
      <w:pPr>
        <w:pStyle w:val="FirstParagraph"/>
      </w:pPr>
      <w:r>
        <w:t xml:space="preserve">Длина превышает допустимое значение.</w:t>
      </w:r>
    </w:p>
    <w:bookmarkEnd w:id="39"/>
    <w:bookmarkStart w:id="40" w:name="вторая-модель-3"/>
    <w:p>
      <w:pPr>
        <w:pStyle w:val="Heading3"/>
      </w:pPr>
      <w:r>
        <w:rPr>
          <w:rStyle w:val="SectionNumber"/>
        </w:rPr>
        <w:t xml:space="preserve">2.6.2</w:t>
      </w:r>
      <w:r>
        <w:tab/>
      </w:r>
      <w:r>
        <w:t xml:space="preserve">Вторая модель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Элемент сети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Задержка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Пара терминалов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2 (95 м, Cat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105,64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Повторитель класса II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4 (15 м, Cat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Повторитель класса II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6 (100 м, Cat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 (+4 резерв)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521,52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Общий вывод:</w:t>
      </w:r>
      <w:r>
        <w:t xml:space="preserve"> </w:t>
      </w:r>
      <w:r>
        <w:t xml:space="preserve">сеть неработоспособна по обеим моделям.</w:t>
      </w:r>
    </w:p>
    <w:bookmarkEnd w:id="40"/>
    <w:bookmarkEnd w:id="41"/>
    <w:bookmarkStart w:id="44" w:name="вариант-6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Вариант 6</w:t>
      </w:r>
    </w:p>
    <w:bookmarkStart w:id="42" w:name="первая-модель-4"/>
    <w:p>
      <w:pPr>
        <w:pStyle w:val="Heading3"/>
      </w:pPr>
      <w:r>
        <w:rPr>
          <w:rStyle w:val="SectionNumber"/>
        </w:rPr>
        <w:t xml:space="preserve">2.7.1</w:t>
      </w:r>
      <w:r>
        <w:tab/>
      </w:r>
      <w:r>
        <w:t xml:space="preserve">Первая модель</w:t>
      </w:r>
    </w:p>
    <w:p>
      <w:pPr>
        <w:pStyle w:val="SourceCode"/>
      </w:pPr>
      <w:r>
        <w:rPr>
          <w:rStyle w:val="VerbatimChar"/>
        </w:rPr>
        <w:t xml:space="preserve">98 м + 9 м + 100 м = 207 м</w:t>
      </w:r>
    </w:p>
    <w:bookmarkEnd w:id="42"/>
    <w:bookmarkStart w:id="43" w:name="вторая-модель-4"/>
    <w:p>
      <w:pPr>
        <w:pStyle w:val="Heading3"/>
      </w:pPr>
      <w:r>
        <w:rPr>
          <w:rStyle w:val="SectionNumber"/>
        </w:rPr>
        <w:t xml:space="preserve">2.7.2</w:t>
      </w:r>
      <w:r>
        <w:tab/>
      </w:r>
      <w:r>
        <w:t xml:space="preserve">Вторая модель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Элемент сети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Задержка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Пара терминалов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2 (98 м, Cat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108,976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Повторитель класса II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4 (9 м, Cat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Повторитель класса II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6 (100 м, Cat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 (+4 резерв)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518,184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Общий вывод:</w:t>
      </w:r>
      <w:r>
        <w:t xml:space="preserve"> </w:t>
      </w:r>
      <w:r>
        <w:t xml:space="preserve">сеть неработоспособна по обеим моделям.</w:t>
      </w:r>
    </w:p>
    <w:bookmarkEnd w:id="43"/>
    <w:bookmarkEnd w:id="44"/>
    <w:bookmarkEnd w:id="45"/>
    <w:bookmarkStart w:id="46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 была проанализирована работоспособность сети Fast Ethernet на основе технологии</w:t>
      </w:r>
      <w:r>
        <w:t xml:space="preserve"> </w:t>
      </w:r>
      <w:r>
        <w:rPr>
          <w:bCs/>
          <w:b/>
        </w:rPr>
        <w:t xml:space="preserve">100BASE-TX</w:t>
      </w:r>
      <w:r>
        <w:t xml:space="preserve"> </w:t>
      </w:r>
      <w:r>
        <w:t xml:space="preserve">для шести различных вариантов конфигурации. Проверка выполнялась по двум моделям: по суммарной длине сегментов и по суммарной задержке распространения сигнала с учётом повторителей и кабельных линий.</w:t>
      </w:r>
    </w:p>
    <w:p>
      <w:pPr>
        <w:pStyle w:val="BodyText"/>
      </w:pPr>
      <w:r>
        <w:t xml:space="preserve">Результаты показали, что работоспособность сети напрямую зависит от соблюдения нормативных ограничений, установленных для Fast Ethernet при использовании повторителей класса II. В вариантах, где суммарная длина линий или расчетная задержка не превышали допустимые значения, сеть функционировала корректно. При превышении данных ограничений сеть становилась неработоспособной независимо от используемой модели расчёта.</w:t>
      </w:r>
    </w:p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Хамди Мохаммад</dc:creator>
  <dc:language>ru-RU</dc:language>
  <cp:keywords/>
  <dcterms:created xsi:type="dcterms:W3CDTF">2025-12-17T08:41:02Z</dcterms:created>
  <dcterms:modified xsi:type="dcterms:W3CDTF">2025-12-17T08:41:02Z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onofont">
    <vt:lpwstr>IBM Plex Mono</vt:lpwstr>
  </property>
  <property fmtid="{D5CDD505-2E9C-101B-9397-08002B2CF9AE}" pid="55" name="monofontoptions">
    <vt:lpwstr>Scale=MatchLowercase,Scale=0.94,FakeStretch=0.9</vt:lpwstr>
  </property>
  <property fmtid="{D5CDD505-2E9C-101B-9397-08002B2CF9AE}" pid="56" name="nameInLink">
    <vt:lpwstr>False</vt:lpwstr>
  </property>
  <property fmtid="{D5CDD505-2E9C-101B-9397-08002B2CF9AE}" pid="57" name="numberSections">
    <vt:lpwstr>False</vt:lpwstr>
  </property>
  <property fmtid="{D5CDD505-2E9C-101B-9397-08002B2CF9AE}" pid="58" name="pairDelim">
    <vt:lpwstr>, </vt:lpwstr>
  </property>
  <property fmtid="{D5CDD505-2E9C-101B-9397-08002B2CF9AE}" pid="59" name="papersize">
    <vt:lpwstr>a</vt:lpwstr>
  </property>
  <property fmtid="{D5CDD505-2E9C-101B-9397-08002B2CF9AE}" pid="60" name="polyglossia-lang">
    <vt:lpwstr/>
  </property>
  <property fmtid="{D5CDD505-2E9C-101B-9397-08002B2CF9AE}" pid="61" name="polyglossia-otherlangs">
    <vt:lpwstr/>
  </property>
  <property fmtid="{D5CDD505-2E9C-101B-9397-08002B2CF9AE}" pid="62" name="rangeDelim">
    <vt:lpwstr>-</vt:lpwstr>
  </property>
  <property fmtid="{D5CDD505-2E9C-101B-9397-08002B2CF9AE}" pid="63" name="refDelim">
    <vt:lpwstr>, </vt:lpwstr>
  </property>
  <property fmtid="{D5CDD505-2E9C-101B-9397-08002B2CF9AE}" pid="64" name="refIndexTemplate">
    <vt:lpwstr>isuf</vt:lpwstr>
  </property>
  <property fmtid="{D5CDD505-2E9C-101B-9397-08002B2CF9AE}" pid="65" name="romanfont">
    <vt:lpwstr>IBM Plex Serif</vt:lpwstr>
  </property>
  <property fmtid="{D5CDD505-2E9C-101B-9397-08002B2CF9AE}" pid="66" name="romanfontoptions">
    <vt:lpwstr>Ligatures=Common,Ligatures=TeX,Scale=0.94</vt:lpwstr>
  </property>
  <property fmtid="{D5CDD505-2E9C-101B-9397-08002B2CF9AE}" pid="67" name="sansfont">
    <vt:lpwstr>IBM Plex Sans</vt:lpwstr>
  </property>
  <property fmtid="{D5CDD505-2E9C-101B-9397-08002B2CF9AE}" pid="68" name="sansfontoptions">
    <vt:lpwstr>Ligatures=Common,Ligatures=TeX,Scale=MatchLowercase,Scale=0.94</vt:lpwstr>
  </property>
  <property fmtid="{D5CDD505-2E9C-101B-9397-08002B2CF9AE}" pid="69" name="secHeaderDelim">
    <vt:lpwstr> </vt:lpwstr>
  </property>
  <property fmtid="{D5CDD505-2E9C-101B-9397-08002B2CF9AE}" pid="70" name="secHeaderTemplate">
    <vt:lpwstr>isecHeaderDelim[n]t</vt:lpwstr>
  </property>
  <property fmtid="{D5CDD505-2E9C-101B-9397-08002B2CF9AE}" pid="71" name="secLabels">
    <vt:lpwstr>arabic</vt:lpwstr>
  </property>
  <property fmtid="{D5CDD505-2E9C-101B-9397-08002B2CF9AE}" pid="72" name="secPrefix">
    <vt:lpwstr/>
  </property>
  <property fmtid="{D5CDD505-2E9C-101B-9397-08002B2CF9AE}" pid="73" name="secPrefixTemplate">
    <vt:lpwstr>p i</vt:lpwstr>
  </property>
  <property fmtid="{D5CDD505-2E9C-101B-9397-08002B2CF9AE}" pid="74" name="sectionsDepth">
    <vt:lpwstr>0</vt:lpwstr>
  </property>
  <property fmtid="{D5CDD505-2E9C-101B-9397-08002B2CF9AE}" pid="75" name="subfigGrid">
    <vt:lpwstr>False</vt:lpwstr>
  </property>
  <property fmtid="{D5CDD505-2E9C-101B-9397-08002B2CF9AE}" pid="76" name="subfigLabels">
    <vt:lpwstr>alpha a</vt:lpwstr>
  </property>
  <property fmtid="{D5CDD505-2E9C-101B-9397-08002B2CF9AE}" pid="77" name="subfigureChildTemplate">
    <vt:lpwstr>i</vt:lpwstr>
  </property>
  <property fmtid="{D5CDD505-2E9C-101B-9397-08002B2CF9AE}" pid="78" name="subfigureRefIndexTemplate">
    <vt:lpwstr>isuf (s)</vt:lpwstr>
  </property>
  <property fmtid="{D5CDD505-2E9C-101B-9397-08002B2CF9AE}" pid="79" name="subfigureTemplate">
    <vt:lpwstr>figureTitle ititleDelim t. ccs</vt:lpwstr>
  </property>
  <property fmtid="{D5CDD505-2E9C-101B-9397-08002B2CF9AE}" pid="80" name="subtitle">
    <vt:lpwstr>Исследование работоспособности сети Fast Ethernet</vt:lpwstr>
  </property>
  <property fmtid="{D5CDD505-2E9C-101B-9397-08002B2CF9AE}" pid="81" name="tableEqns">
    <vt:lpwstr>False</vt:lpwstr>
  </property>
  <property fmtid="{D5CDD505-2E9C-101B-9397-08002B2CF9AE}" pid="82" name="tableTemplate">
    <vt:lpwstr>tableTitle ititleDelim t</vt:lpwstr>
  </property>
  <property fmtid="{D5CDD505-2E9C-101B-9397-08002B2CF9AE}" pid="83" name="tableTitle">
    <vt:lpwstr>Таблица</vt:lpwstr>
  </property>
  <property fmtid="{D5CDD505-2E9C-101B-9397-08002B2CF9AE}" pid="84" name="tblLabels">
    <vt:lpwstr>arabic</vt:lpwstr>
  </property>
  <property fmtid="{D5CDD505-2E9C-101B-9397-08002B2CF9AE}" pid="85" name="tblPrefix">
    <vt:lpwstr/>
  </property>
  <property fmtid="{D5CDD505-2E9C-101B-9397-08002B2CF9AE}" pid="86" name="tblPrefixTemplate">
    <vt:lpwstr>p i</vt:lpwstr>
  </property>
  <property fmtid="{D5CDD505-2E9C-101B-9397-08002B2CF9AE}" pid="87" name="titleDelim">
    <vt:lpwstr>:</vt:lpwstr>
  </property>
  <property fmtid="{D5CDD505-2E9C-101B-9397-08002B2CF9AE}" pid="88" name="toc">
    <vt:lpwstr>True</vt:lpwstr>
  </property>
  <property fmtid="{D5CDD505-2E9C-101B-9397-08002B2CF9AE}" pid="89" name="toc-depth">
    <vt:lpwstr>2</vt:lpwstr>
  </property>
  <property fmtid="{D5CDD505-2E9C-101B-9397-08002B2CF9AE}" pid="90" name="toc-title">
    <vt:lpwstr>Содержание</vt:lpwstr>
  </property>
</Properties>
</file>