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экспериментального</w:t>
      </w:r>
      <w:r>
        <w:t xml:space="preserve"> </w:t>
      </w:r>
      <w:r>
        <w:t xml:space="preserve">стенда</w:t>
      </w:r>
      <w:r>
        <w:t xml:space="preserve"> </w:t>
      </w:r>
      <w:r>
        <w:t xml:space="preserve">GNS3</w:t>
      </w:r>
    </w:p>
    <w:p>
      <w:pPr>
        <w:pStyle w:val="Author"/>
      </w:pPr>
      <w:r>
        <w:t xml:space="preserve">Хамди</w:t>
      </w:r>
      <w:r>
        <w:t xml:space="preserve"> </w:t>
      </w:r>
      <w:r>
        <w:t xml:space="preserve">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5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настройка-и-запуск-gns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и запуск GNS3</w:t>
      </w:r>
    </w:p>
    <w:p>
      <w:pPr>
        <w:numPr>
          <w:ilvl w:val="0"/>
          <w:numId w:val="1001"/>
        </w:numPr>
      </w:pPr>
      <w:r>
        <w:t xml:space="preserve">Была запущена</w:t>
      </w:r>
      <w:r>
        <w:t xml:space="preserve"> </w:t>
      </w:r>
      <w:r>
        <w:rPr>
          <w:bCs/>
          <w:b/>
        </w:rPr>
        <w:t xml:space="preserve">виртуальная машина GNS3 VM</w:t>
      </w:r>
      <w:r>
        <w:t xml:space="preserve">, после чего в основной операционной системе открыто приложение</w:t>
      </w:r>
      <w:r>
        <w:t xml:space="preserve"> </w:t>
      </w:r>
      <w:r>
        <w:rPr>
          <w:bCs/>
          <w:b/>
        </w:rPr>
        <w:t xml:space="preserve">GNS3</w:t>
      </w:r>
      <w:r>
        <w:t xml:space="preserve">.</w:t>
      </w:r>
      <w:r>
        <w:br/>
      </w:r>
      <w:r>
        <w:t xml:space="preserve">При первом запуске приложения открылся мастер настройки, где выбран режим работы —</w:t>
      </w:r>
      <w:r>
        <w:t xml:space="preserve"> </w:t>
      </w:r>
      <w:r>
        <w:rPr>
          <w:bCs/>
          <w:b/>
        </w:rPr>
        <w:t xml:space="preserve">Run appliances in a virtual machine</w:t>
      </w:r>
      <w:r>
        <w:t xml:space="preserve">, что позволяет запускать устройства непосредственно в виртуальной среде.</w:t>
      </w:r>
    </w:p>
    <w:p>
      <w:pPr>
        <w:numPr>
          <w:ilvl w:val="0"/>
          <w:numId w:val="1001"/>
        </w:numPr>
      </w:pPr>
      <w:r>
        <w:t xml:space="preserve">На этапе конфигурации удалённого контроллера GNS3 были указаны параметры подключения: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Protocol:</w:t>
      </w:r>
      <w:r>
        <w:t xml:space="preserve"> </w:t>
      </w:r>
      <w:r>
        <w:t xml:space="preserve">HTTP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Host:</w:t>
      </w:r>
      <w:r>
        <w:t xml:space="preserve"> </w:t>
      </w:r>
      <w:r>
        <w:t xml:space="preserve">192.168.133.131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Port:</w:t>
      </w:r>
      <w:r>
        <w:t xml:space="preserve"> </w:t>
      </w:r>
      <w:r>
        <w:t xml:space="preserve">80 TCP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t xml:space="preserve">admin</w:t>
      </w:r>
    </w:p>
    <w:p>
      <w:pPr>
        <w:numPr>
          <w:ilvl w:val="0"/>
          <w:numId w:val="1000"/>
        </w:numPr>
      </w:pPr>
      <w:r>
        <w:t xml:space="preserve">После ввода данных была выполнена успешная аутентификация с сервером.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257923"/>
            <wp:effectExtent b="0" l="0" r="0" t="0"/>
            <wp:docPr descr="Рис. 1: Настройка удалённого контроллера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Настройка удалённого контроллера GNS3</w:t>
      </w:r>
    </w:p>
    <w:p>
      <w:pPr>
        <w:numPr>
          <w:ilvl w:val="0"/>
          <w:numId w:val="1001"/>
        </w:numPr>
      </w:pPr>
      <w:r>
        <w:t xml:space="preserve">После завершения настройки сервер успешно подключился, что подтверждается зелёным индикатором состояния</w:t>
      </w:r>
      <w:r>
        <w:t xml:space="preserve"> </w:t>
      </w:r>
      <w:r>
        <w:rPr>
          <w:bCs/>
          <w:b/>
        </w:rPr>
        <w:t xml:space="preserve">gns3vm (controller)</w:t>
      </w:r>
      <w:r>
        <w:t xml:space="preserve"> </w:t>
      </w:r>
      <w:r>
        <w:t xml:space="preserve">в окне</w:t>
      </w:r>
      <w:r>
        <w:t xml:space="preserve"> </w:t>
      </w:r>
      <w:r>
        <w:rPr>
          <w:bCs/>
          <w:b/>
        </w:rPr>
        <w:t xml:space="preserve">Servers Summary</w:t>
      </w:r>
      <w:r>
        <w:t xml:space="preserve">. Приложение готово к работе и созданию новых проектов.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713427"/>
            <wp:effectExtent b="0" l="0" r="0" t="0"/>
            <wp:docPr descr="Рис. 2: Подключение GNS3 VM и готовность среды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Подключение GNS3 VM и готовность среды</w:t>
      </w:r>
    </w:p>
    <w:bookmarkEnd w:id="29"/>
    <w:bookmarkStart w:id="46" w:name="добавление-образа-маршрутизатора-fr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Добавление образа маршрутизатора FRR</w:t>
      </w:r>
    </w:p>
    <w:p>
      <w:pPr>
        <w:numPr>
          <w:ilvl w:val="0"/>
          <w:numId w:val="1003"/>
        </w:numPr>
      </w:pPr>
      <w:r>
        <w:t xml:space="preserve">В панели маршрутизаторов (</w:t>
      </w:r>
      <w:r>
        <w:rPr>
          <w:bCs/>
          <w:b/>
        </w:rPr>
        <w:t xml:space="preserve">Browse Routers</w:t>
      </w:r>
      <w:r>
        <w:t xml:space="preserve">) был выбран пункт</w:t>
      </w:r>
      <w:r>
        <w:t xml:space="preserve"> </w:t>
      </w:r>
      <w:r>
        <w:rPr>
          <w:bCs/>
          <w:b/>
        </w:rPr>
        <w:t xml:space="preserve">New template</w:t>
      </w:r>
      <w:r>
        <w:t xml:space="preserve"> </w:t>
      </w:r>
      <w:r>
        <w:t xml:space="preserve">для добавления нового образа. В открывшемся окне из списка серверных шаблонов выбран образ</w:t>
      </w:r>
      <w:r>
        <w:t xml:space="preserve"> </w:t>
      </w:r>
      <w:r>
        <w:rPr>
          <w:bCs/>
          <w:b/>
        </w:rPr>
        <w:t xml:space="preserve">FRR (FRRouting Project)</w:t>
      </w:r>
      <w:r>
        <w:t xml:space="preserve"> </w:t>
      </w:r>
      <w:r>
        <w:t xml:space="preserve">и инициирована установка.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664623"/>
            <wp:effectExtent b="0" l="0" r="0" t="0"/>
            <wp:docPr descr="Рис. 3: Выбор шаблона маршрутизатора FRR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Выбор шаблона маршрутизатора FRR</w:t>
      </w:r>
    </w:p>
    <w:p>
      <w:pPr>
        <w:numPr>
          <w:ilvl w:val="0"/>
          <w:numId w:val="1003"/>
        </w:numPr>
      </w:pPr>
      <w:r>
        <w:t xml:space="preserve">В окне установки указано, что образ</w:t>
      </w:r>
      <w:r>
        <w:t xml:space="preserve"> </w:t>
      </w:r>
      <w:r>
        <w:rPr>
          <w:bCs/>
          <w:b/>
        </w:rPr>
        <w:t xml:space="preserve">FRR версии 8.2.2</w:t>
      </w:r>
      <w:r>
        <w:t xml:space="preserve"> </w:t>
      </w:r>
      <w:r>
        <w:t xml:space="preserve">найден локально и готов к установке, после чего был выбран пункт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для продолжения.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394363"/>
            <wp:effectExtent b="0" l="0" r="0" t="0"/>
            <wp:docPr descr="Рис. 4: Импорт и установка FRR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Импорт и установка FRR</w:t>
      </w:r>
    </w:p>
    <w:p>
      <w:pPr>
        <w:numPr>
          <w:ilvl w:val="0"/>
          <w:numId w:val="1003"/>
        </w:numPr>
      </w:pPr>
      <w:r>
        <w:t xml:space="preserve">На этапе конфигурации шаблона во вкладке</w:t>
      </w:r>
      <w:r>
        <w:t xml:space="preserve"> </w:t>
      </w:r>
      <w:r>
        <w:rPr>
          <w:bCs/>
          <w:b/>
        </w:rPr>
        <w:t xml:space="preserve">General settings</w:t>
      </w:r>
      <w:r>
        <w:t xml:space="preserve"> </w:t>
      </w:r>
      <w:r>
        <w:t xml:space="preserve">были заданы основные параметры виртуальной машины:</w:t>
      </w:r>
    </w:p>
    <w:p>
      <w:pPr>
        <w:numPr>
          <w:ilvl w:val="1"/>
          <w:numId w:val="1004"/>
        </w:numPr>
        <w:pStyle w:val="Compact"/>
      </w:pPr>
      <w:r>
        <w:t xml:space="preserve">Категория —</w:t>
      </w:r>
      <w:r>
        <w:t xml:space="preserve"> </w:t>
      </w:r>
      <w:r>
        <w:rPr>
          <w:iCs/>
          <w:i/>
        </w:rPr>
        <w:t xml:space="preserve">Routers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Оперативная память —</w:t>
      </w:r>
      <w:r>
        <w:t xml:space="preserve"> </w:t>
      </w:r>
      <w:r>
        <w:rPr>
          <w:iCs/>
          <w:i/>
        </w:rPr>
        <w:t xml:space="preserve">256 MB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Количество vCPU —</w:t>
      </w:r>
      <w:r>
        <w:t xml:space="preserve"> </w:t>
      </w:r>
      <w:r>
        <w:rPr>
          <w:iCs/>
          <w:i/>
        </w:rPr>
        <w:t xml:space="preserve">1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Платформа —</w:t>
      </w:r>
      <w:r>
        <w:t xml:space="preserve"> </w:t>
      </w:r>
      <w:r>
        <w:rPr>
          <w:iCs/>
          <w:i/>
        </w:rPr>
        <w:t xml:space="preserve">x86_64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Тип консоли —</w:t>
      </w:r>
      <w:r>
        <w:t xml:space="preserve"> </w:t>
      </w:r>
      <w:r>
        <w:rPr>
          <w:iCs/>
          <w:i/>
        </w:rPr>
        <w:t xml:space="preserve">Telnet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Поведение при закрытии —</w:t>
      </w:r>
      <w:r>
        <w:t xml:space="preserve"> </w:t>
      </w:r>
      <w:r>
        <w:rPr>
          <w:iCs/>
          <w:i/>
        </w:rPr>
        <w:t xml:space="preserve">Send the shutdown signal (ACPI)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5461216"/>
            <wp:effectExtent b="0" l="0" r="0" t="0"/>
            <wp:docPr descr="Рис. 5: Общие настройки шаблона FRR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Общие настройки шаблона FRR</w:t>
      </w:r>
    </w:p>
    <w:p>
      <w:pPr>
        <w:numPr>
          <w:ilvl w:val="0"/>
          <w:numId w:val="1003"/>
        </w:numPr>
      </w:pPr>
      <w:r>
        <w:t xml:space="preserve">Во вкладке</w:t>
      </w:r>
      <w:r>
        <w:t xml:space="preserve"> </w:t>
      </w:r>
      <w:r>
        <w:rPr>
          <w:bCs/>
          <w:b/>
        </w:rPr>
        <w:t xml:space="preserve">HDD</w:t>
      </w:r>
      <w:r>
        <w:t xml:space="preserve"> </w:t>
      </w:r>
      <w:r>
        <w:t xml:space="preserve">активирована опция</w:t>
      </w:r>
      <w:r>
        <w:t xml:space="preserve"> </w:t>
      </w:r>
      <w:r>
        <w:rPr>
          <w:iCs/>
          <w:i/>
        </w:rPr>
        <w:t xml:space="preserve">Automatically create a config disk on HDD</w:t>
      </w:r>
      <w:r>
        <w:t xml:space="preserve">, что обеспечивает автоматическое создание диска для хранения конфигурации устройства.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5914753"/>
            <wp:effectExtent b="0" l="0" r="0" t="0"/>
            <wp:docPr descr="Рис. 6: Настройка HDD для FRR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Настройка HDD для FRR</w:t>
      </w:r>
    </w:p>
    <w:bookmarkEnd w:id="46"/>
    <w:bookmarkStart w:id="51" w:name="добавление-образа-маршрутизатора-vyo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Добавление образа маршрутизатора VyOS</w:t>
      </w:r>
    </w:p>
    <w:p>
      <w:pPr>
        <w:numPr>
          <w:ilvl w:val="0"/>
          <w:numId w:val="1005"/>
        </w:numPr>
      </w:pPr>
      <w:r>
        <w:t xml:space="preserve">Аналогичным образом добавлен образ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. В списке установочных файлов выбрана версия</w:t>
      </w:r>
      <w:r>
        <w:t xml:space="preserve"> </w:t>
      </w:r>
      <w:r>
        <w:rPr>
          <w:bCs/>
          <w:b/>
        </w:rPr>
        <w:t xml:space="preserve">1.3.3</w:t>
      </w:r>
      <w:r>
        <w:t xml:space="preserve">, найденная локально и готовая к установке.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363976"/>
            <wp:effectExtent b="0" l="0" r="0" t="0"/>
            <wp:docPr descr="Рис. 7: Импорт образа VyOS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Импорт образа VyOS</w:t>
      </w:r>
    </w:p>
    <w:bookmarkEnd w:id="51"/>
    <w:bookmarkStart w:id="56" w:name="проверка-запуска-устройств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запуска устройств</w:t>
      </w:r>
    </w:p>
    <w:p>
      <w:pPr>
        <w:numPr>
          <w:ilvl w:val="0"/>
          <w:numId w:val="1006"/>
        </w:numPr>
        <w:pStyle w:val="Compact"/>
      </w:pPr>
      <w:r>
        <w:t xml:space="preserve">После добавления маршрутизаторов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в рабочее пространство GNS3 они были запущены. В результате открылись консольные окна</w:t>
      </w:r>
      <w:r>
        <w:t xml:space="preserve"> </w:t>
      </w:r>
      <w:r>
        <w:rPr>
          <w:bCs/>
          <w:b/>
        </w:rPr>
        <w:t xml:space="preserve">PuTTY</w:t>
      </w:r>
      <w:r>
        <w:t xml:space="preserve">, подтверждающие успешную загрузку систем.</w:t>
      </w:r>
    </w:p>
    <w:p>
      <w:pPr>
        <w:numPr>
          <w:ilvl w:val="1"/>
          <w:numId w:val="1007"/>
        </w:numPr>
        <w:pStyle w:val="Compact"/>
      </w:pPr>
      <w:r>
        <w:t xml:space="preserve">Устройство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запросило ввод логина (</w:t>
      </w:r>
      <w:r>
        <w:rPr>
          <w:rStyle w:val="VerbatimChar"/>
        </w:rPr>
        <w:t xml:space="preserve">vyos login:</w:t>
      </w:r>
      <w:r>
        <w:t xml:space="preserve">).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Устройство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отобразило приветственное сообщение о запуске</w:t>
      </w:r>
      <w:r>
        <w:t xml:space="preserve"> </w:t>
      </w:r>
      <w:r>
        <w:rPr>
          <w:bCs/>
          <w:b/>
        </w:rPr>
        <w:t xml:space="preserve">FRRouting (version 8.2.2)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3878393"/>
            <wp:effectExtent b="0" l="0" r="0" t="0"/>
            <wp:docPr descr="Рис. 8: Запуск маршрутизаторов VyOS и FRR в GNS3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Запуск маршрутизаторов VyOS и FRR в GNS3</w:t>
      </w:r>
    </w:p>
    <w:bookmarkEnd w:id="56"/>
    <w:bookmarkEnd w:id="57"/>
    <w:bookmarkStart w:id="58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выполнена настройка виртуальной машины</w:t>
      </w:r>
      <w:r>
        <w:t xml:space="preserve"> </w:t>
      </w:r>
      <w:r>
        <w:rPr>
          <w:bCs/>
          <w:b/>
        </w:rPr>
        <w:t xml:space="preserve">GNS3 VM</w:t>
      </w:r>
      <w:r>
        <w:t xml:space="preserve">, произведено подключение к контроллеру и добавлены образы маршрутизаторов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.</w:t>
      </w:r>
      <w:r>
        <w:br/>
      </w:r>
      <w:r>
        <w:t xml:space="preserve">Оба устройства успешно установлены и запущены в среде GNS3, что подтверждает корректность конфигурации виртуальной лаборатории и готовность её к дальнейшей работе по моделированию сетевых сценариев.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Хамди Мохаммад</dc:creator>
  <dc:language>ru-RU</dc:language>
  <cp:keywords/>
  <dcterms:created xsi:type="dcterms:W3CDTF">2025-10-20T06:59:50Z</dcterms:created>
  <dcterms:modified xsi:type="dcterms:W3CDTF">2025-10-20T06:59:50Z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экспериментального стенда GNS3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