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TRUST BANK</w:t>
      </w:r>
    </w:p>
    <w:p>
      <w:pPr>
        <w:pStyle w:val="BodyText"/>
      </w:pPr>
      <w:r>
        <w:rPr>
          <w:b/>
          <w:bCs/>
        </w:rPr>
        <w:t xml:space="preserve">POLICY: CALL CONDUCT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BNK-CC-POL-01</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Effective Date</w:t>
            </w:r>
          </w:p>
        </w:tc>
        <w:tc>
          <w:tcPr/>
          <w:p>
            <w:pPr>
              <w:pStyle w:val="Compact"/>
            </w:pPr>
            <w:r>
              <w:t xml:space="preserve">20/5/2026</w:t>
            </w:r>
          </w:p>
        </w:tc>
      </w:tr>
      <w:tr>
        <w:tc>
          <w:tcPr/>
          <w:p>
            <w:pPr>
              <w:pStyle w:val="Compact"/>
            </w:pPr>
            <w:r>
              <w:rPr>
                <w:b/>
                <w:bCs/>
              </w:rPr>
              <w:t xml:space="preserve">Department</w:t>
            </w:r>
          </w:p>
        </w:tc>
        <w:tc>
          <w:tcPr/>
          <w:p>
            <w:pPr>
              <w:pStyle w:val="Compact"/>
            </w:pPr>
            <w:r>
              <w:t xml:space="preserve">Retail &amp; Business Banking Contact Center</w:t>
            </w:r>
          </w:p>
        </w:tc>
      </w:tr>
    </w:tbl>
    <w:p>
      <w:pPr>
        <w:pStyle w:val="BodyText"/>
      </w:pPr>
      <w:r>
        <w:rPr>
          <w:b/>
          <w:bCs/>
        </w:rPr>
        <w:t xml:space="preserve">1. Scope</w:t>
      </w:r>
    </w:p>
    <w:p>
      <w:pPr>
        <w:pStyle w:val="BodyText"/>
      </w:pPr>
      <w:r>
        <w:t xml:space="preserve">Applies to all banker associates handling inbound and outbound customer calls across Personal Banking, Business Banking, and Fraud Operations queues. Compliance is mandatory for QA scoring and regulatory examination. This is a single-tier operating model: every call is owned by the receiving banker, who either resolves the matter at their seat or raises a back-office ticket to the relevant team. No warm transfers between agents.</w:t>
      </w:r>
    </w:p>
    <w:p>
      <w:pPr>
        <w:pStyle w:val="BodyText"/>
      </w:pPr>
      <w:r>
        <w:rPr>
          <w:b/>
          <w:bCs/>
        </w:rPr>
        <w:t xml:space="preserve">2. Rules</w:t>
      </w:r>
    </w:p>
    <w:p>
      <w:pPr>
        <w:pStyle w:val="BodyText"/>
      </w:pPr>
      <w:r>
        <w:t xml:space="preserve">Severity: CRITICAL = immediate violation, examination-reportable. MAJOR = scored failure. MINOR = coaching trigger.</w:t>
      </w:r>
    </w:p>
    <w:p>
      <w:pPr>
        <w:pStyle w:val="BodyText"/>
      </w:pPr>
      <w:r>
        <w:rPr>
          <w:b/>
          <w:bCs/>
        </w:rPr>
        <w:t xml:space="preserve">2.1 Call Opening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BNK-CC-RULE-001</w:t>
            </w:r>
          </w:p>
        </w:tc>
        <w:tc>
          <w:tcPr/>
          <w:p>
            <w:pPr>
              <w:pStyle w:val="Compact"/>
            </w:pPr>
            <w:r>
              <w:t xml:space="preserve">Banker must greet with:</w:t>
            </w:r>
            <w:r>
              <w:t xml:space="preserve"> </w:t>
            </w:r>
            <w:r>
              <w:t xml:space="preserve">‘Thank you for calling Meridian Trust Bank. My name is [Name], how may I help you today?’</w:t>
            </w:r>
          </w:p>
        </w:tc>
        <w:tc>
          <w:tcPr/>
          <w:p>
            <w:pPr>
              <w:pStyle w:val="Compact"/>
            </w:pPr>
            <w:r>
              <w:rPr>
                <w:b/>
                <w:bCs/>
              </w:rPr>
              <w:t xml:space="preserve">MAJOR</w:t>
            </w:r>
          </w:p>
        </w:tc>
      </w:tr>
      <w:tr>
        <w:tc>
          <w:tcPr/>
          <w:p>
            <w:pPr>
              <w:pStyle w:val="Compact"/>
            </w:pPr>
            <w:r>
              <w:rPr>
                <w:b/>
                <w:bCs/>
              </w:rPr>
              <w:t xml:space="preserve">BNK-CC-RULE-002</w:t>
            </w:r>
          </w:p>
        </w:tc>
        <w:tc>
          <w:tcPr/>
          <w:p>
            <w:pPr>
              <w:pStyle w:val="Compact"/>
            </w:pPr>
            <w:r>
              <w:t xml:space="preserve">Banker must state recording notification immediately after greeting if not played by IVR:</w:t>
            </w:r>
            <w:r>
              <w:t xml:space="preserve"> </w:t>
            </w:r>
            <w:r>
              <w:t xml:space="preserve">‘Please note this call is recorded for quality assurance and regulatory compliance purposes.’</w:t>
            </w:r>
          </w:p>
        </w:tc>
        <w:tc>
          <w:tcPr/>
          <w:p>
            <w:pPr>
              <w:pStyle w:val="Compact"/>
            </w:pPr>
            <w:r>
              <w:rPr>
                <w:b/>
                <w:bCs/>
              </w:rPr>
              <w:t xml:space="preserve">CRITICAL</w:t>
            </w:r>
          </w:p>
        </w:tc>
      </w:tr>
      <w:tr>
        <w:tc>
          <w:tcPr/>
          <w:p>
            <w:pPr>
              <w:pStyle w:val="Compact"/>
            </w:pPr>
            <w:r>
              <w:rPr>
                <w:b/>
                <w:bCs/>
              </w:rPr>
              <w:t xml:space="preserve">BNK-CC-RULE-003</w:t>
            </w:r>
          </w:p>
        </w:tc>
        <w:tc>
          <w:tcPr/>
          <w:p>
            <w:pPr>
              <w:pStyle w:val="Compact"/>
            </w:pPr>
            <w:r>
              <w:t xml:space="preserve">Banker must acknowledge the customer’s stated reason before proceeding:</w:t>
            </w:r>
            <w:r>
              <w:t xml:space="preserve"> </w:t>
            </w:r>
            <w:r>
              <w:t xml:space="preserve">‘I understand you are calling regarding [issue]. I can certainly help you with that.’</w:t>
            </w:r>
          </w:p>
        </w:tc>
        <w:tc>
          <w:tcPr/>
          <w:p>
            <w:pPr>
              <w:pStyle w:val="Compact"/>
            </w:pPr>
            <w:r>
              <w:rPr>
                <w:b/>
                <w:bCs/>
              </w:rPr>
              <w:t xml:space="preserve">MAJOR</w:t>
            </w:r>
          </w:p>
        </w:tc>
      </w:tr>
    </w:tbl>
    <w:p>
      <w:pPr>
        <w:pStyle w:val="BodyText"/>
      </w:pPr>
      <w:r>
        <w:rPr>
          <w:b/>
          <w:bCs/>
        </w:rPr>
        <w:t xml:space="preserve">2.2 Identity Verification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BNK-CC-RULE-004</w:t>
            </w:r>
          </w:p>
        </w:tc>
        <w:tc>
          <w:tcPr/>
          <w:p>
            <w:pPr>
              <w:pStyle w:val="Compact"/>
            </w:pPr>
            <w:r>
              <w:t xml:space="preserve">Banker must verify the customer using exactly 3 of the following 5 identifiers before accessing any account data: (1) Full legal name as it appears on the account, (2) Account or card number, (3) Date of birth, (4) Last 4 digits of SSN/Tax ID, (5) Security challenge phrase.</w:t>
            </w:r>
          </w:p>
        </w:tc>
        <w:tc>
          <w:tcPr/>
          <w:p>
            <w:pPr>
              <w:pStyle w:val="Compact"/>
            </w:pPr>
            <w:r>
              <w:rPr>
                <w:b/>
                <w:bCs/>
              </w:rPr>
              <w:t xml:space="preserve">CRITICAL</w:t>
            </w:r>
          </w:p>
        </w:tc>
      </w:tr>
      <w:tr>
        <w:tc>
          <w:tcPr/>
          <w:p>
            <w:pPr>
              <w:pStyle w:val="Compact"/>
            </w:pPr>
            <w:r>
              <w:rPr>
                <w:b/>
                <w:bCs/>
              </w:rPr>
              <w:t xml:space="preserve">BNK-CC-RULE-005</w:t>
            </w:r>
          </w:p>
        </w:tc>
        <w:tc>
          <w:tcPr/>
          <w:p>
            <w:pPr>
              <w:pStyle w:val="Compact"/>
            </w:pPr>
            <w:r>
              <w:t xml:space="preserve">No account balance, transaction detail, statement information, or account changes may be disclosed or processed before successful 3-of-5 verification is confirmed.</w:t>
            </w:r>
          </w:p>
        </w:tc>
        <w:tc>
          <w:tcPr/>
          <w:p>
            <w:pPr>
              <w:pStyle w:val="Compact"/>
            </w:pPr>
            <w:r>
              <w:rPr>
                <w:b/>
                <w:bCs/>
              </w:rPr>
              <w:t xml:space="preserve">CRITICAL</w:t>
            </w:r>
          </w:p>
        </w:tc>
      </w:tr>
      <w:tr>
        <w:tc>
          <w:tcPr/>
          <w:p>
            <w:pPr>
              <w:pStyle w:val="Compact"/>
            </w:pPr>
            <w:r>
              <w:rPr>
                <w:b/>
                <w:bCs/>
              </w:rPr>
              <w:t xml:space="preserve">BNK-CC-RULE-006</w:t>
            </w:r>
          </w:p>
        </w:tc>
        <w:tc>
          <w:tcPr/>
          <w:p>
            <w:pPr>
              <w:pStyle w:val="Compact"/>
            </w:pPr>
            <w:r>
              <w:t xml:space="preserve">Third-party callers must be listed as Authorized Signers, Power of Attorney, or Trustees in the system. No information may be disclosed or changes made for unlisted third parties under any circumstances.</w:t>
            </w:r>
          </w:p>
        </w:tc>
        <w:tc>
          <w:tcPr/>
          <w:p>
            <w:pPr>
              <w:pStyle w:val="Compact"/>
            </w:pPr>
            <w:r>
              <w:rPr>
                <w:b/>
                <w:bCs/>
              </w:rPr>
              <w:t xml:space="preserve">CRITICAL</w:t>
            </w:r>
          </w:p>
        </w:tc>
      </w:tr>
      <w:tr>
        <w:tc>
          <w:tcPr/>
          <w:p>
            <w:pPr>
              <w:pStyle w:val="Compact"/>
            </w:pPr>
            <w:r>
              <w:rPr>
                <w:b/>
                <w:bCs/>
              </w:rPr>
              <w:t xml:space="preserve">BNK-CC-RULE-007</w:t>
            </w:r>
          </w:p>
        </w:tc>
        <w:tc>
          <w:tcPr/>
          <w:p>
            <w:pPr>
              <w:pStyle w:val="Compact"/>
            </w:pPr>
            <w:r>
              <w:t xml:space="preserve">For wire transfer, large-cash, or other elevated-risk transactions, banker must perform Enhanced Verification: full 5-of-5 identifiers plus security challenge phrase, plus a callback to the phone number on file if the request originated by inbound call.</w:t>
            </w:r>
          </w:p>
        </w:tc>
        <w:tc>
          <w:tcPr/>
          <w:p>
            <w:pPr>
              <w:pStyle w:val="Compact"/>
            </w:pPr>
            <w:r>
              <w:rPr>
                <w:b/>
                <w:bCs/>
              </w:rPr>
              <w:t xml:space="preserve">CRITICAL</w:t>
            </w:r>
          </w:p>
        </w:tc>
      </w:tr>
    </w:tbl>
    <w:p>
      <w:pPr>
        <w:pStyle w:val="BodyText"/>
      </w:pPr>
      <w:r>
        <w:rPr>
          <w:b/>
          <w:bCs/>
        </w:rPr>
        <w:t xml:space="preserve">2.3 Communication Standards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BNK-CC-RULE-008</w:t>
            </w:r>
          </w:p>
        </w:tc>
        <w:tc>
          <w:tcPr/>
          <w:p>
            <w:pPr>
              <w:pStyle w:val="Compact"/>
            </w:pPr>
            <w:r>
              <w:t xml:space="preserve">Banker must respond to any customer statement or question within 3 seconds. Dead air exceeding 5 seconds without verbal acknowledgment is a violation.</w:t>
            </w:r>
          </w:p>
        </w:tc>
        <w:tc>
          <w:tcPr/>
          <w:p>
            <w:pPr>
              <w:pStyle w:val="Compact"/>
            </w:pPr>
            <w:r>
              <w:rPr>
                <w:b/>
                <w:bCs/>
              </w:rPr>
              <w:t xml:space="preserve">MINOR</w:t>
            </w:r>
          </w:p>
        </w:tc>
      </w:tr>
      <w:tr>
        <w:tc>
          <w:tcPr/>
          <w:p>
            <w:pPr>
              <w:pStyle w:val="Compact"/>
            </w:pPr>
            <w:r>
              <w:rPr>
                <w:b/>
                <w:bCs/>
              </w:rPr>
              <w:t xml:space="preserve">BNK-CC-RULE-009</w:t>
            </w:r>
          </w:p>
        </w:tc>
        <w:tc>
          <w:tcPr/>
          <w:p>
            <w:pPr>
              <w:pStyle w:val="Compact"/>
            </w:pPr>
            <w:r>
              <w:t xml:space="preserve">Banker must not interrupt the customer. Maximum of 2 interruptions per call is permitted only to redirect a wandering conversation. Zero interruptions is the standard.</w:t>
            </w:r>
          </w:p>
        </w:tc>
        <w:tc>
          <w:tcPr/>
          <w:p>
            <w:pPr>
              <w:pStyle w:val="Compact"/>
            </w:pPr>
            <w:r>
              <w:rPr>
                <w:b/>
                <w:bCs/>
              </w:rPr>
              <w:t xml:space="preserve">MINOR</w:t>
            </w:r>
          </w:p>
        </w:tc>
      </w:tr>
      <w:tr>
        <w:tc>
          <w:tcPr/>
          <w:p>
            <w:pPr>
              <w:pStyle w:val="Compact"/>
            </w:pPr>
            <w:r>
              <w:rPr>
                <w:b/>
                <w:bCs/>
              </w:rPr>
              <w:t xml:space="preserve">BNK-CC-RULE-010</w:t>
            </w:r>
          </w:p>
        </w:tc>
        <w:tc>
          <w:tcPr/>
          <w:p>
            <w:pPr>
              <w:pStyle w:val="Compact"/>
            </w:pPr>
            <w:r>
              <w:t xml:space="preserve">During any silent task (e.g. processing a wire, running fraud screening), banker must re-engage within 10 seconds:</w:t>
            </w:r>
            <w:r>
              <w:t xml:space="preserve"> </w:t>
            </w:r>
            <w:r>
              <w:t xml:space="preserve">‘I am still here with you; [task] is in progress. Thank you for your patience.’</w:t>
            </w:r>
          </w:p>
        </w:tc>
        <w:tc>
          <w:tcPr/>
          <w:p>
            <w:pPr>
              <w:pStyle w:val="Compact"/>
            </w:pPr>
            <w:r>
              <w:rPr>
                <w:b/>
                <w:bCs/>
              </w:rPr>
              <w:t xml:space="preserve">MINOR</w:t>
            </w:r>
          </w:p>
        </w:tc>
      </w:tr>
      <w:tr>
        <w:tc>
          <w:tcPr/>
          <w:p>
            <w:pPr>
              <w:pStyle w:val="Compact"/>
            </w:pPr>
            <w:r>
              <w:rPr>
                <w:b/>
                <w:bCs/>
              </w:rPr>
              <w:t xml:space="preserve">BNK-CC-RULE-011</w:t>
            </w:r>
          </w:p>
        </w:tc>
        <w:tc>
          <w:tcPr/>
          <w:p>
            <w:pPr>
              <w:pStyle w:val="Compact"/>
            </w:pPr>
            <w:r>
              <w:t xml:space="preserve">Banker talk ratio must not exceed 45% of total call duration. Avoid unbroken disclosure monologues — break TILA/Reg DD recitations into segments and confirm understanding.</w:t>
            </w:r>
          </w:p>
        </w:tc>
        <w:tc>
          <w:tcPr/>
          <w:p>
            <w:pPr>
              <w:pStyle w:val="Compact"/>
            </w:pPr>
            <w:r>
              <w:rPr>
                <w:b/>
                <w:bCs/>
              </w:rPr>
              <w:t xml:space="preserve">MINOR</w:t>
            </w:r>
          </w:p>
        </w:tc>
      </w:tr>
    </w:tbl>
    <w:p>
      <w:pPr>
        <w:pStyle w:val="BodyText"/>
      </w:pPr>
      <w:r>
        <w:rPr>
          <w:b/>
          <w:bCs/>
        </w:rPr>
        <w:t xml:space="preserve">2.4 De-escalation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BNK-CC-RULE-012</w:t>
            </w:r>
          </w:p>
        </w:tc>
        <w:tc>
          <w:tcPr/>
          <w:p>
            <w:pPr>
              <w:pStyle w:val="Compact"/>
            </w:pPr>
            <w:r>
              <w:t xml:space="preserve">When a customer is angry or frustrated, banker must apply A.C.E.S. in order: Acknowledge → Clarify → Empathize → Solve. Skipping Acknowledge or jumping directly to Solve is a violation.</w:t>
            </w:r>
          </w:p>
        </w:tc>
        <w:tc>
          <w:tcPr/>
          <w:p>
            <w:pPr>
              <w:pStyle w:val="Compact"/>
            </w:pPr>
            <w:r>
              <w:rPr>
                <w:b/>
                <w:bCs/>
              </w:rPr>
              <w:t xml:space="preserve">MAJOR</w:t>
            </w:r>
          </w:p>
        </w:tc>
      </w:tr>
      <w:tr>
        <w:tc>
          <w:tcPr/>
          <w:p>
            <w:pPr>
              <w:pStyle w:val="Compact"/>
            </w:pPr>
            <w:r>
              <w:rPr>
                <w:b/>
                <w:bCs/>
              </w:rPr>
              <w:t xml:space="preserve">BNK-CC-RULE-013</w:t>
            </w:r>
          </w:p>
        </w:tc>
        <w:tc>
          <w:tcPr/>
          <w:p>
            <w:pPr>
              <w:pStyle w:val="Compact"/>
            </w:pPr>
            <w:r>
              <w:t xml:space="preserve">The following phrases are forbidden in any customer interaction:</w:t>
            </w:r>
            <w:r>
              <w:t xml:space="preserve"> </w:t>
            </w:r>
            <w:r>
              <w:t xml:space="preserve">‘Calm down’</w:t>
            </w:r>
            <w:r>
              <w:t xml:space="preserve"> </w:t>
            </w:r>
            <w:r>
              <w:t xml:space="preserve">/</w:t>
            </w:r>
            <w:r>
              <w:t xml:space="preserve"> </w:t>
            </w:r>
            <w:r>
              <w:t xml:space="preserve">‘That’s our policy’</w:t>
            </w:r>
            <w:r>
              <w:t xml:space="preserve"> </w:t>
            </w:r>
            <w:r>
              <w:t xml:space="preserve">/</w:t>
            </w:r>
            <w:r>
              <w:t xml:space="preserve"> </w:t>
            </w:r>
            <w:r>
              <w:t xml:space="preserve">‘I don’t know’</w:t>
            </w:r>
            <w:r>
              <w:t xml:space="preserve"> </w:t>
            </w:r>
            <w:r>
              <w:t xml:space="preserve">/</w:t>
            </w:r>
            <w:r>
              <w:t xml:space="preserve"> </w:t>
            </w:r>
            <w:r>
              <w:t xml:space="preserve">‘There’s nothing I can do’</w:t>
            </w:r>
            <w:r>
              <w:t xml:space="preserve"> </w:t>
            </w:r>
            <w:r>
              <w:t xml:space="preserve">/</w:t>
            </w:r>
            <w:r>
              <w:t xml:space="preserve"> </w:t>
            </w:r>
            <w:r>
              <w:t xml:space="preserve">‘You should have known’</w:t>
            </w:r>
            <w:r>
              <w:t xml:space="preserve"> </w:t>
            </w:r>
            <w:r>
              <w:t xml:space="preserve">/</w:t>
            </w:r>
            <w:r>
              <w:t xml:space="preserve"> </w:t>
            </w:r>
            <w:r>
              <w:t xml:space="preserve">‘We don’t make mistakes’</w:t>
            </w:r>
            <w:r>
              <w:t xml:space="preserve">.</w:t>
            </w:r>
          </w:p>
        </w:tc>
        <w:tc>
          <w:tcPr/>
          <w:p>
            <w:pPr>
              <w:pStyle w:val="Compact"/>
            </w:pPr>
            <w:r>
              <w:rPr>
                <w:b/>
                <w:bCs/>
              </w:rPr>
              <w:t xml:space="preserve">MAJOR</w:t>
            </w:r>
          </w:p>
        </w:tc>
      </w:tr>
      <w:tr>
        <w:tc>
          <w:tcPr/>
          <w:p>
            <w:pPr>
              <w:pStyle w:val="Compact"/>
            </w:pPr>
            <w:r>
              <w:rPr>
                <w:b/>
                <w:bCs/>
              </w:rPr>
              <w:t xml:space="preserve">BNK-CC-RULE-014</w:t>
            </w:r>
          </w:p>
        </w:tc>
        <w:tc>
          <w:tcPr/>
          <w:p>
            <w:pPr>
              <w:pStyle w:val="Compact"/>
            </w:pPr>
            <w:r>
              <w:t xml:space="preserve">Banker must adapt tone to the customer’s emotional state. Banker must never match an elevated customer’s volume. Speak at a lower pitch and slower pace for angry or distressed customers.</w:t>
            </w:r>
          </w:p>
        </w:tc>
        <w:tc>
          <w:tcPr/>
          <w:p>
            <w:pPr>
              <w:pStyle w:val="Compact"/>
            </w:pPr>
            <w:r>
              <w:rPr>
                <w:b/>
                <w:bCs/>
              </w:rPr>
              <w:t xml:space="preserve">MAJOR</w:t>
            </w:r>
          </w:p>
        </w:tc>
      </w:tr>
    </w:tbl>
    <w:p>
      <w:pPr>
        <w:pStyle w:val="BodyText"/>
      </w:pPr>
      <w:r>
        <w:rPr>
          <w:b/>
          <w:bCs/>
        </w:rPr>
        <w:t xml:space="preserve">2.5 Back-Office Tickets</w:t>
      </w:r>
    </w:p>
    <w:p>
      <w:pPr>
        <w:pStyle w:val="BodyText"/>
      </w:pPr>
      <w:r>
        <w:t xml:space="preserve">The single-tier model resolves issues at the banker’s seat. When an issue cannot be closed on the call, the banker opens a ticket to the relevant back-office team and tells the customer the expected follow-up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BNK-CC-RULE-015</w:t>
            </w:r>
          </w:p>
        </w:tc>
        <w:tc>
          <w:tcPr/>
          <w:p>
            <w:pPr>
              <w:pStyle w:val="Compact"/>
            </w:pPr>
            <w:r>
              <w:t xml:space="preserve">When a ticket is required, banker must (a) inform the customer in plain language, (b) state the team handling the ticket, (c) state the expected follow-up window, and (d) provide the case reference number before closing the call.</w:t>
            </w:r>
          </w:p>
        </w:tc>
        <w:tc>
          <w:tcPr/>
          <w:p>
            <w:pPr>
              <w:pStyle w:val="Compact"/>
            </w:pPr>
            <w:r>
              <w:rPr>
                <w:b/>
                <w:bCs/>
              </w:rPr>
              <w:t xml:space="preserve">MAJOR</w:t>
            </w:r>
          </w:p>
        </w:tc>
      </w:tr>
      <w:tr>
        <w:tc>
          <w:tcPr/>
          <w:p>
            <w:pPr>
              <w:pStyle w:val="Compact"/>
            </w:pPr>
            <w:r>
              <w:rPr>
                <w:b/>
                <w:bCs/>
              </w:rPr>
              <w:t xml:space="preserve">BNK-CC-RULE-016</w:t>
            </w:r>
          </w:p>
        </w:tc>
        <w:tc>
          <w:tcPr/>
          <w:p>
            <w:pPr>
              <w:pStyle w:val="Compact"/>
            </w:pPr>
            <w:r>
              <w:t xml:space="preserve">Standard follow-up SLAs: Fraud Operations (suspected fraud/unauthorized activity) = 4 hours. Reg E Dispute Adjudication = 10 business days for provisional credit determination. AML/BSA (suspicious activity referral) = no customer follow-up permitted (no-tip-off rule). Manager Approval (credit/waiver above banker authority) = 1 business day. Operations (wire investigations, returned items) = 2 business days.</w:t>
            </w:r>
          </w:p>
        </w:tc>
        <w:tc>
          <w:tcPr/>
          <w:p>
            <w:pPr>
              <w:pStyle w:val="Compact"/>
            </w:pPr>
            <w:r>
              <w:rPr>
                <w:b/>
                <w:bCs/>
              </w:rPr>
              <w:t xml:space="preserve">MAJOR</w:t>
            </w:r>
          </w:p>
        </w:tc>
      </w:tr>
    </w:tbl>
    <w:p>
      <w:pPr>
        <w:pStyle w:val="BodyText"/>
      </w:pPr>
      <w:r>
        <w:rPr>
          <w:b/>
          <w:bCs/>
        </w:rPr>
        <w:t xml:space="preserve">2.6 Abuse &amp; Harassment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BNK-CC-RULE-017</w:t>
            </w:r>
          </w:p>
        </w:tc>
        <w:tc>
          <w:tcPr/>
          <w:p>
            <w:pPr>
              <w:pStyle w:val="Compact"/>
            </w:pPr>
            <w:r>
              <w:t xml:space="preserve">Personal attacks, slurs, sexual harassment, or physical threats trigger the 3-Strike Protocol. Strike 1: warning. Strike 2: final warning. Strike 3: call termination with stated reason. Swearing at the situation is not abuse; swearing at the banker is. After termination, banker must flag the account</w:t>
            </w:r>
            <w:r>
              <w:t xml:space="preserve"> </w:t>
            </w:r>
            <w:r>
              <w:t xml:space="preserve">‘Customer Conduct’</w:t>
            </w:r>
            <w:r>
              <w:t xml:space="preserve"> </w:t>
            </w:r>
            <w:r>
              <w:t xml:space="preserve">in the system and log a Conduct Case Note.</w:t>
            </w:r>
          </w:p>
        </w:tc>
        <w:tc>
          <w:tcPr/>
          <w:p>
            <w:pPr>
              <w:pStyle w:val="Compact"/>
            </w:pPr>
            <w:r>
              <w:rPr>
                <w:b/>
                <w:bCs/>
              </w:rPr>
              <w:t xml:space="preserve">MAJOR</w:t>
            </w:r>
          </w:p>
        </w:tc>
      </w:tr>
      <w:tr>
        <w:tc>
          <w:tcPr/>
          <w:p>
            <w:pPr>
              <w:pStyle w:val="Compact"/>
            </w:pPr>
            <w:r>
              <w:rPr>
                <w:b/>
                <w:bCs/>
              </w:rPr>
              <w:t xml:space="preserve">BNK-CC-RULE-018</w:t>
            </w:r>
          </w:p>
        </w:tc>
        <w:tc>
          <w:tcPr/>
          <w:p>
            <w:pPr>
              <w:pStyle w:val="Compact"/>
            </w:pPr>
            <w:r>
              <w:t xml:space="preserve">If a customer threatens self-harm or harm to others, banker must keep the line open (mute), follow the on-screen Safety Protocol prompt, and contact emergency services per local procedure. Do not disconnect.</w:t>
            </w:r>
          </w:p>
        </w:tc>
        <w:tc>
          <w:tcPr/>
          <w:p>
            <w:pPr>
              <w:pStyle w:val="Compact"/>
            </w:pPr>
            <w:r>
              <w:rPr>
                <w:b/>
                <w:bCs/>
              </w:rPr>
              <w:t xml:space="preserve">CRITICAL</w:t>
            </w:r>
          </w:p>
        </w:tc>
      </w:tr>
      <w:tr>
        <w:tc>
          <w:tcPr/>
          <w:p>
            <w:pPr>
              <w:pStyle w:val="Compact"/>
            </w:pPr>
            <w:r>
              <w:rPr>
                <w:b/>
                <w:bCs/>
              </w:rPr>
              <w:t xml:space="preserve">BNK-CC-RULE-019</w:t>
            </w:r>
          </w:p>
        </w:tc>
        <w:tc>
          <w:tcPr/>
          <w:p>
            <w:pPr>
              <w:pStyle w:val="Compact"/>
            </w:pPr>
            <w:r>
              <w:t xml:space="preserve">If a customer in distress shows signs of being coerced or scammed (e.g. urgency, secrecy, third-party direction), banker must invoke the Elder/Vulnerable Customer Protocol — pause the requested transaction, ask probing questions per the Suspected Financial Exploitation script, and open a FRAUD-RULE-007 case if signs persist.</w:t>
            </w:r>
          </w:p>
        </w:tc>
        <w:tc>
          <w:tcPr/>
          <w:p>
            <w:pPr>
              <w:pStyle w:val="Compact"/>
            </w:pPr>
            <w:r>
              <w:rPr>
                <w:b/>
                <w:bCs/>
              </w:rPr>
              <w:t xml:space="preserve">CRITICAL</w:t>
            </w:r>
          </w:p>
        </w:tc>
      </w:tr>
    </w:tbl>
    <w:p>
      <w:pPr>
        <w:pStyle w:val="BodyText"/>
      </w:pPr>
      <w:r>
        <w:rPr>
          <w:b/>
          <w:bCs/>
        </w:rPr>
        <w:t xml:space="preserve">2.7 Resolution &amp; Closing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BNK-CC-RULE-020</w:t>
            </w:r>
          </w:p>
        </w:tc>
        <w:tc>
          <w:tcPr/>
          <w:p>
            <w:pPr>
              <w:pStyle w:val="Compact"/>
            </w:pPr>
            <w:r>
              <w:t xml:space="preserve">Before closing, banker must explain the root cause of the issue to the customer in plain language (no jargon).</w:t>
            </w:r>
          </w:p>
        </w:tc>
        <w:tc>
          <w:tcPr/>
          <w:p>
            <w:pPr>
              <w:pStyle w:val="Compact"/>
            </w:pPr>
            <w:r>
              <w:rPr>
                <w:b/>
                <w:bCs/>
              </w:rPr>
              <w:t xml:space="preserve">MAJOR</w:t>
            </w:r>
          </w:p>
        </w:tc>
      </w:tr>
      <w:tr>
        <w:tc>
          <w:tcPr/>
          <w:p>
            <w:pPr>
              <w:pStyle w:val="Compact"/>
            </w:pPr>
            <w:r>
              <w:rPr>
                <w:b/>
                <w:bCs/>
              </w:rPr>
              <w:t xml:space="preserve">BNK-CC-RULE-021</w:t>
            </w:r>
          </w:p>
        </w:tc>
        <w:tc>
          <w:tcPr/>
          <w:p>
            <w:pPr>
              <w:pStyle w:val="Compact"/>
            </w:pPr>
            <w:r>
              <w:t xml:space="preserve">Banker must deliver a resolution summary in the format: Issue + Fix + Follow-Up Actions, before closing.</w:t>
            </w:r>
          </w:p>
        </w:tc>
        <w:tc>
          <w:tcPr/>
          <w:p>
            <w:pPr>
              <w:pStyle w:val="Compact"/>
            </w:pPr>
            <w:r>
              <w:rPr>
                <w:b/>
                <w:bCs/>
              </w:rPr>
              <w:t xml:space="preserve">MAJOR</w:t>
            </w:r>
          </w:p>
        </w:tc>
      </w:tr>
      <w:tr>
        <w:tc>
          <w:tcPr/>
          <w:p>
            <w:pPr>
              <w:pStyle w:val="Compact"/>
            </w:pPr>
            <w:r>
              <w:rPr>
                <w:b/>
                <w:bCs/>
              </w:rPr>
              <w:t xml:space="preserve">BNK-CC-RULE-022</w:t>
            </w:r>
          </w:p>
        </w:tc>
        <w:tc>
          <w:tcPr/>
          <w:p>
            <w:pPr>
              <w:pStyle w:val="Compact"/>
            </w:pPr>
            <w:r>
              <w:t xml:space="preserve">Banker must ask</w:t>
            </w:r>
            <w:r>
              <w:t xml:space="preserve"> </w:t>
            </w:r>
            <w:r>
              <w:t xml:space="preserve">‘Is there anything else I can help you with today?’</w:t>
            </w:r>
            <w:r>
              <w:t xml:space="preserve"> </w:t>
            </w:r>
            <w:r>
              <w:t xml:space="preserve">before closing every call.</w:t>
            </w:r>
          </w:p>
        </w:tc>
        <w:tc>
          <w:tcPr/>
          <w:p>
            <w:pPr>
              <w:pStyle w:val="Compact"/>
            </w:pPr>
            <w:r>
              <w:rPr>
                <w:b/>
                <w:bCs/>
              </w:rPr>
              <w:t xml:space="preserve">MAJOR</w:t>
            </w:r>
          </w:p>
        </w:tc>
      </w:tr>
      <w:tr>
        <w:tc>
          <w:tcPr/>
          <w:p>
            <w:pPr>
              <w:pStyle w:val="Compact"/>
            </w:pPr>
            <w:r>
              <w:rPr>
                <w:b/>
                <w:bCs/>
              </w:rPr>
              <w:t xml:space="preserve">BNK-CC-RULE-023</w:t>
            </w:r>
          </w:p>
        </w:tc>
        <w:tc>
          <w:tcPr/>
          <w:p>
            <w:pPr>
              <w:pStyle w:val="Compact"/>
            </w:pPr>
            <w:r>
              <w:t xml:space="preserve">Banker must provide the Case Reference Number and offer the post-call survey. Exception: do not offer survey if the call ended in (a) a confirmed cancellation, (b) abuse-triggered termination, or (c) any AML/BSA-flagged interaction.</w:t>
            </w:r>
          </w:p>
        </w:tc>
        <w:tc>
          <w:tcPr/>
          <w:p>
            <w:pPr>
              <w:pStyle w:val="Compact"/>
            </w:pPr>
            <w:r>
              <w:rPr>
                <w:b/>
                <w:bCs/>
              </w:rPr>
              <w:t xml:space="preserve">MAJOR</w:t>
            </w:r>
          </w:p>
        </w:tc>
      </w:tr>
    </w:tbl>
    <w:p>
      <w:pPr>
        <w:pStyle w:val="BodyText"/>
      </w:pPr>
      <w:r>
        <w:rPr>
          <w:b/>
          <w:bCs/>
        </w:rPr>
        <w:t xml:space="preserve">2.8 Documentation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Rule</w:t>
            </w:r>
          </w:p>
        </w:tc>
        <w:tc>
          <w:tcPr/>
          <w:p>
            <w:pPr>
              <w:pStyle w:val="Compact"/>
            </w:pPr>
            <w:r>
              <w:t xml:space="preserve">Severity</w:t>
            </w:r>
          </w:p>
        </w:tc>
      </w:tr>
      <w:tr>
        <w:tc>
          <w:tcPr/>
          <w:p>
            <w:pPr>
              <w:pStyle w:val="Compact"/>
            </w:pPr>
            <w:r>
              <w:rPr>
                <w:b/>
                <w:bCs/>
              </w:rPr>
              <w:t xml:space="preserve">BNK-CC-RULE-024</w:t>
            </w:r>
          </w:p>
        </w:tc>
        <w:tc>
          <w:tcPr/>
          <w:p>
            <w:pPr>
              <w:pStyle w:val="Compact"/>
            </w:pPr>
            <w:r>
              <w:t xml:space="preserve">Case notes must be completed and saved within 5 minutes of call end. Required fields: verification method, issue reported, actions taken, tickets opened, resolution status, customer sentiment.</w:t>
            </w:r>
          </w:p>
        </w:tc>
        <w:tc>
          <w:tcPr/>
          <w:p>
            <w:pPr>
              <w:pStyle w:val="Compact"/>
            </w:pPr>
            <w:r>
              <w:rPr>
                <w:b/>
                <w:bCs/>
              </w:rPr>
              <w:t xml:space="preserve">MAJOR</w:t>
            </w:r>
          </w:p>
        </w:tc>
      </w:tr>
      <w:tr>
        <w:tc>
          <w:tcPr/>
          <w:p>
            <w:pPr>
              <w:pStyle w:val="Compact"/>
            </w:pPr>
            <w:r>
              <w:rPr>
                <w:b/>
                <w:bCs/>
              </w:rPr>
              <w:t xml:space="preserve">BNK-CC-RULE-025</w:t>
            </w:r>
          </w:p>
        </w:tc>
        <w:tc>
          <w:tcPr/>
          <w:p>
            <w:pPr>
              <w:pStyle w:val="Compact"/>
            </w:pPr>
            <w:r>
              <w:t xml:space="preserve">Case notes must never contain full card numbers, full SSN, full account numbers, or security challenge phrases. Mask all sensitive identifiers (e.g. </w:t>
            </w:r>
            <w:r>
              <w:t xml:space="preserve">‘card ending 4729’</w:t>
            </w:r>
            <w:r>
              <w:t xml:space="preserve">).</w:t>
            </w:r>
          </w:p>
        </w:tc>
        <w:tc>
          <w:tcPr/>
          <w:p>
            <w:pPr>
              <w:pStyle w:val="Compact"/>
            </w:pPr>
            <w:r>
              <w:rPr>
                <w:b/>
                <w:bCs/>
              </w:rPr>
              <w:t xml:space="preserve">CRITICAL</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2026-05-20T17:46:13Z</dcterms:created>
  <dcterms:modified xsi:type="dcterms:W3CDTF">2026-05-20T17:46:13Z</dcterms:modified>
</cp:coreProperties>
</file>

<file path=docProps/custom.xml><?xml version="1.0" encoding="utf-8"?>
<Properties xmlns="http://schemas.openxmlformats.org/officeDocument/2006/custom-properties" xmlns:vt="http://schemas.openxmlformats.org/officeDocument/2006/docPropsVTypes"/>
</file>