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TRUST BANK</w:t>
      </w:r>
    </w:p>
    <w:p>
      <w:pPr>
        <w:pStyle w:val="BodyText"/>
      </w:pPr>
      <w:r>
        <w:rPr>
          <w:b/>
          <w:bCs/>
        </w:rPr>
        <w:t xml:space="preserve">POLICY: DATA PRIVACY &amp;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BNK-SEC-POL-02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20/5/2026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Information Security &amp; Privacy Office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Scope</w:t>
      </w:r>
    </w:p>
    <w:p>
      <w:pPr>
        <w:pStyle w:val="BodyText"/>
      </w:pPr>
      <w:r>
        <w:t xml:space="preserve">Applies to all bankers, fraud analysts, and operations associates handling customer Non-Public Personal Information (NPI). Complies with Gramm-Leach-Bliley Act (GLBA), Right to Financial Privacy Act, Bank Secrecy Act, FCRA, CCPA, GDPR (for EU-resident customers), and PCI-DSS for card data. Violations carry disciplinary consequences up to termination and may be examination-reportable.</w:t>
      </w:r>
    </w:p>
    <w:p>
      <w:pPr>
        <w:pStyle w:val="BodyText"/>
      </w:pPr>
      <w:r>
        <w:rPr>
          <w:b/>
          <w:bCs/>
        </w:rPr>
        <w:t xml:space="preserve">2. Rules</w:t>
      </w:r>
    </w:p>
    <w:p>
      <w:pPr>
        <w:pStyle w:val="BodyText"/>
      </w:pPr>
      <w:r>
        <w:rPr>
          <w:b/>
          <w:bCs/>
        </w:rPr>
        <w:t xml:space="preserve">2.1 Recording &amp; Privacy Disclosure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BNK-SEC-RULE-001</w:t>
            </w:r>
          </w:p>
        </w:tc>
        <w:tc>
          <w:tcPr/>
          <w:p>
            <w:pPr>
              <w:pStyle w:val="Compact"/>
            </w:pPr>
            <w:r>
              <w:t xml:space="preserve">Banker must state the recording notification verbatim at call start if not played by IVR:</w:t>
            </w:r>
            <w:r>
              <w:t xml:space="preserve"> </w:t>
            </w:r>
            <w:r>
              <w:t xml:space="preserve">‘Please note this call is recorded for quality assurance and regulatory compliance purposes.’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BNK-SEC-RULE-002</w:t>
            </w:r>
          </w:p>
        </w:tc>
        <w:tc>
          <w:tcPr/>
          <w:p>
            <w:pPr>
              <w:pStyle w:val="Compact"/>
            </w:pPr>
            <w:r>
              <w:t xml:space="preserve">When opening a new account or collecting any new NPI from the customer, banker must state:</w:t>
            </w:r>
            <w:r>
              <w:t xml:space="preserve"> </w:t>
            </w:r>
            <w:r>
              <w:t xml:space="preserve">‘Your information is used solely to provide and service your accounts, in accordance with our Privacy Notice and applicable law. You may receive a copy of our Privacy Notice at any time on request.’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</w:tr>
    </w:tbl>
    <w:p>
      <w:pPr>
        <w:pStyle w:val="BodyText"/>
      </w:pPr>
      <w:r>
        <w:rPr>
          <w:b/>
          <w:bCs/>
        </w:rPr>
        <w:t xml:space="preserve">2.2 Payment Card Data (PCI-DSS)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BNK-SEC-RULE-003</w:t>
            </w:r>
          </w:p>
        </w:tc>
        <w:tc>
          <w:tcPr/>
          <w:p>
            <w:pPr>
              <w:pStyle w:val="Compact"/>
            </w:pPr>
            <w:r>
              <w:t xml:space="preserve">Banker must never read back a full debit card, credit card, or account number to a customer under any circumstances. Only the last 4 digits may be referenced.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BNK-SEC-RULE-004</w:t>
            </w:r>
          </w:p>
        </w:tc>
        <w:tc>
          <w:tcPr/>
          <w:p>
            <w:pPr>
              <w:pStyle w:val="Compact"/>
            </w:pPr>
            <w:r>
              <w:t xml:space="preserve">Banker must never ask for, record, or repeat a card CVV/CVC code.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BNK-SEC-RULE-005</w:t>
            </w:r>
          </w:p>
        </w:tc>
        <w:tc>
          <w:tcPr/>
          <w:p>
            <w:pPr>
              <w:pStyle w:val="Compact"/>
            </w:pPr>
            <w:r>
              <w:t xml:space="preserve">When activating a new card or processing a card-related transaction, banker must use the secure tone-capture system; no card data may be spoken aloud by the customer over an unencrypted line.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2.3 Data Handling in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BNK-SEC-RULE-006</w:t>
            </w:r>
          </w:p>
        </w:tc>
        <w:tc>
          <w:tcPr/>
          <w:p>
            <w:pPr>
              <w:pStyle w:val="Compact"/>
            </w:pPr>
            <w:r>
              <w:t xml:space="preserve">Case notes must mask all sensitive identifiers. Correct:</w:t>
            </w:r>
            <w:r>
              <w:t xml:space="preserve"> </w:t>
            </w:r>
            <w:r>
              <w:t xml:space="preserve">‘Customer verified via card ending in 4729.’</w:t>
            </w:r>
            <w:r>
              <w:t xml:space="preserve"> </w:t>
            </w:r>
            <w:r>
              <w:t xml:space="preserve">Writing full card numbers, full account numbers, full SSN, or security challenge phrases is a CRITICAL violation.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BNK-SEC-RULE-007</w:t>
            </w:r>
          </w:p>
        </w:tc>
        <w:tc>
          <w:tcPr/>
          <w:p>
            <w:pPr>
              <w:pStyle w:val="Compact"/>
            </w:pPr>
            <w:r>
              <w:t xml:space="preserve">Banker must not export, screenshot, photograph, or copy any customer NPI to personal devices, personal email, or unauthorized cloud services.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2.4 Verification Before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BNK-SEC-RULE-008</w:t>
            </w:r>
          </w:p>
        </w:tc>
        <w:tc>
          <w:tcPr/>
          <w:p>
            <w:pPr>
              <w:pStyle w:val="Compact"/>
            </w:pPr>
            <w:r>
              <w:t xml:space="preserve">Banker must never confirm whether a customer holds an account, what types of accounts they hold, or whether a specific person is on an account, to any unverified caller. Doing so is a GLBA data exposure violation.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BNK-SEC-RULE-009</w:t>
            </w:r>
          </w:p>
        </w:tc>
        <w:tc>
          <w:tcPr/>
          <w:p>
            <w:pPr>
              <w:pStyle w:val="Compact"/>
            </w:pPr>
            <w:r>
              <w:t xml:space="preserve">Credential resets (online banking password, security challenge phrase, debit card PIN) may only be performed after successful 3-of-5 identity verification. If verification cannot be completed by phone, customer must visit a Meridian Trust branch in person with a government-issued photo ID.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2.5 Suspected Unauthorized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BNK-SEC-RULE-010</w:t>
            </w:r>
          </w:p>
        </w:tc>
        <w:tc>
          <w:tcPr/>
          <w:p>
            <w:pPr>
              <w:pStyle w:val="Compact"/>
            </w:pPr>
            <w:r>
              <w:t xml:space="preserve">If unauthorized account access is suspected, the banker must, on the same call: (1) freeze all account changes and outbound transfers, (2) flag the account as</w:t>
            </w:r>
            <w:r>
              <w:t xml:space="preserve"> </w:t>
            </w:r>
            <w:r>
              <w:t xml:space="preserve">‘Security Review’</w:t>
            </w:r>
            <w:r>
              <w:t xml:space="preserve"> </w:t>
            </w:r>
            <w:r>
              <w:t xml:space="preserve">in the system, (3) open a Fraud Operations ticket, (4) advise the customer to change online banking credentials and any reused passwords. Fraud Ops follows up within 4 hours. The banker must not perform any further account changes on this call beyond the freeze.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2.6 Data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Action After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audio recordings</w:t>
            </w:r>
          </w:p>
        </w:tc>
        <w:tc>
          <w:tcPr/>
          <w:p>
            <w:pPr>
              <w:pStyle w:val="Compact"/>
            </w:pPr>
            <w:r>
              <w:t xml:space="preserve">7 years (FFIEC)</w:t>
            </w:r>
          </w:p>
        </w:tc>
        <w:tc>
          <w:tcPr/>
          <w:p>
            <w:pPr>
              <w:pStyle w:val="Compact"/>
            </w:pPr>
            <w:r>
              <w:t xml:space="preserve">Permanently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transcripts and case notes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Anonymized and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NPI (active customers)</w:t>
            </w:r>
          </w:p>
        </w:tc>
        <w:tc>
          <w:tcPr/>
          <w:p>
            <w:pPr>
              <w:pStyle w:val="Compact"/>
            </w:pPr>
            <w:r>
              <w:t xml:space="preserve">Life of account + 7 years</w:t>
            </w:r>
          </w:p>
        </w:tc>
        <w:tc>
          <w:tcPr/>
          <w:p>
            <w:pPr>
              <w:pStyle w:val="Compact"/>
            </w:pPr>
            <w:r>
              <w:t xml:space="preserve">Purged per GLBA Safeguards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AML/BSA records (CTR, SAR)</w:t>
            </w:r>
          </w:p>
        </w:tc>
        <w:tc>
          <w:tcPr/>
          <w:p>
            <w:pPr>
              <w:pStyle w:val="Compact"/>
            </w:pPr>
            <w:r>
              <w:t xml:space="preserve">5 years from filing</w:t>
            </w:r>
          </w:p>
        </w:tc>
        <w:tc>
          <w:tcPr/>
          <w:p>
            <w:pPr>
              <w:pStyle w:val="Compact"/>
            </w:pPr>
            <w:r>
              <w:t xml:space="preserve">Retained per BSA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BNK-SEC-RULE-011</w:t>
            </w:r>
          </w:p>
        </w:tc>
        <w:tc>
          <w:tcPr/>
          <w:p>
            <w:pPr>
              <w:pStyle w:val="Compact"/>
            </w:pPr>
            <w:r>
              <w:t xml:space="preserve">Customer data deletion requests under CCPA/GDPR must be flagged as</w:t>
            </w:r>
            <w:r>
              <w:t xml:space="preserve"> </w:t>
            </w:r>
            <w:r>
              <w:t xml:space="preserve">‘Privacy Deletion Request’</w:t>
            </w:r>
            <w:r>
              <w:t xml:space="preserve"> </w:t>
            </w:r>
            <w:r>
              <w:t xml:space="preserve">and routed to the Privacy Office via ticket. Records subject to regulatory retention (BSA, FFIEC, CTR/SAR) cannot be deleted before their retention period expires; bankers must explain this distinction to the customer in plain language.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</w:tr>
    </w:tbl>
    <w:p>
      <w:pPr>
        <w:pStyle w:val="BodyText"/>
      </w:pPr>
      <w:r>
        <w:rPr>
          <w:b/>
          <w:bCs/>
        </w:rPr>
        <w:t xml:space="preserve">2.7 Cross-Border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BNK-SEC-RULE-012</w:t>
            </w:r>
          </w:p>
        </w:tc>
        <w:tc>
          <w:tcPr/>
          <w:p>
            <w:pPr>
              <w:pStyle w:val="Compact"/>
            </w:pPr>
            <w:r>
              <w:t xml:space="preserve">For EU-resident customers exercising GDPR rights, banker must not provide any answer or commitment on the call; route immediately to the Privacy Office ticket. The Privacy Office responds within 30 calendar days as required by GDPR Article 12.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2026-05-20T17:46:13Z</dcterms:created>
  <dcterms:modified xsi:type="dcterms:W3CDTF">2026-05-20T17:46:13Z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