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MERIDIAN TRUST BANK</w:t>
      </w:r>
    </w:p>
    <w:p>
      <w:pPr>
        <w:pStyle w:val="BodyText"/>
      </w:pPr>
      <w:r>
        <w:rPr>
          <w:b/>
          <w:bCs/>
        </w:rPr>
        <w:t xml:space="preserve">POLICY: FEES, DISPUTES &amp; REGULATORY COMPLIANCE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Document ID</w:t>
            </w:r>
          </w:p>
        </w:tc>
        <w:tc>
          <w:tcPr/>
          <w:p>
            <w:pPr>
              <w:pStyle w:val="Compact"/>
            </w:pPr>
            <w:r>
              <w:t xml:space="preserve">BNK-FIN-POL-03</w:t>
            </w:r>
          </w:p>
        </w:tc>
      </w:tr>
      <w:tr>
        <w:tc>
          <w:tcPr/>
          <w:p>
            <w:pPr>
              <w:pStyle w:val="Compact"/>
            </w:pPr>
            <w:r>
              <w:rPr>
                <w:b/>
                <w:bCs/>
              </w:rPr>
              <w:t xml:space="preserve">Version</w:t>
            </w:r>
          </w:p>
        </w:tc>
        <w:tc>
          <w:tcPr/>
          <w:p>
            <w:pPr>
              <w:pStyle w:val="Compact"/>
            </w:pPr>
            <w:r>
              <w:t xml:space="preserve">1.0</w:t>
            </w:r>
          </w:p>
        </w:tc>
      </w:tr>
      <w:tr>
        <w:tc>
          <w:tcPr/>
          <w:p>
            <w:pPr>
              <w:pStyle w:val="Compact"/>
            </w:pPr>
            <w:r>
              <w:rPr>
                <w:b/>
                <w:bCs/>
              </w:rPr>
              <w:t xml:space="preserve">Effective Date</w:t>
            </w:r>
          </w:p>
        </w:tc>
        <w:tc>
          <w:tcPr/>
          <w:p>
            <w:pPr>
              <w:pStyle w:val="Compact"/>
            </w:pPr>
            <w:r>
              <w:t xml:space="preserve">20/5/2026</w:t>
            </w:r>
          </w:p>
        </w:tc>
      </w:tr>
      <w:tr>
        <w:tc>
          <w:tcPr/>
          <w:p>
            <w:pPr>
              <w:pStyle w:val="Compact"/>
            </w:pPr>
            <w:r>
              <w:rPr>
                <w:b/>
                <w:bCs/>
              </w:rPr>
              <w:t xml:space="preserve">Department</w:t>
            </w:r>
          </w:p>
        </w:tc>
        <w:tc>
          <w:tcPr/>
          <w:p>
            <w:pPr>
              <w:pStyle w:val="Compact"/>
            </w:pPr>
            <w:r>
              <w:t xml:space="preserve">Consumer Compliance, Fraud Operations &amp; Customer Operations</w:t>
            </w:r>
          </w:p>
        </w:tc>
      </w:tr>
    </w:tbl>
    <w:p>
      <w:pPr>
        <w:pStyle w:val="BodyText"/>
      </w:pPr>
      <w:r>
        <w:rPr>
          <w:b/>
          <w:bCs/>
        </w:rPr>
        <w:t xml:space="preserve">1. Scope</w:t>
      </w:r>
    </w:p>
    <w:p>
      <w:pPr>
        <w:pStyle w:val="BodyText"/>
      </w:pPr>
      <w:r>
        <w:t xml:space="preserve">Governs all fee waivers, courtesy credits, Reg E dispute provisional credits, lending disclosures (TILA, Reg Z), deposit account disclosures (Reg DD), KYC/CIP onboarding, BSA suspicious activity reporting, and fraud investigations. Three rule families:</w:t>
      </w:r>
    </w:p>
    <w:p>
      <w:pPr>
        <w:pStyle w:val="Compact"/>
        <w:numPr>
          <w:ilvl w:val="0"/>
          <w:numId w:val="1001"/>
        </w:numPr>
      </w:pPr>
      <w:r>
        <w:rPr>
          <w:b/>
          <w:bCs/>
        </w:rPr>
        <w:t xml:space="preserve">BNK-FIN-RULE-</w:t>
      </w:r>
      <w:r>
        <w:t xml:space="preserve">* Fees, waivers, courtesy credits, dispute provisional credit authority</w:t>
      </w:r>
    </w:p>
    <w:p>
      <w:pPr>
        <w:pStyle w:val="Compact"/>
        <w:numPr>
          <w:ilvl w:val="0"/>
          <w:numId w:val="1001"/>
        </w:numPr>
      </w:pPr>
      <w:r>
        <w:rPr>
          <w:b/>
          <w:bCs/>
        </w:rPr>
        <w:t xml:space="preserve">BNK-REG-RULE-</w:t>
      </w:r>
      <w:r>
        <w:t xml:space="preserve">* Regulatory: TILA, Reg Z, Reg DD, Reg E, KYC/CIP, BSA/AML</w:t>
      </w:r>
    </w:p>
    <w:p>
      <w:pPr>
        <w:pStyle w:val="Compact"/>
        <w:numPr>
          <w:ilvl w:val="0"/>
          <w:numId w:val="1001"/>
        </w:numPr>
      </w:pPr>
      <w:r>
        <w:rPr>
          <w:b/>
          <w:bCs/>
        </w:rPr>
        <w:t xml:space="preserve">BNK-FRAUD-RULE-</w:t>
      </w:r>
      <w:r>
        <w:t xml:space="preserve">* Fraud investigation procedures and elder financial exploitation</w:t>
      </w:r>
    </w:p>
    <w:p>
      <w:pPr>
        <w:pStyle w:val="FirstParagraph"/>
      </w:pPr>
      <w:r>
        <w:rPr>
          <w:b/>
          <w:bCs/>
        </w:rPr>
        <w:t xml:space="preserve">2. Fees &amp; Compensation (BNK-FIN-RULE)</w:t>
      </w:r>
    </w:p>
    <w:p>
      <w:pPr>
        <w:pStyle w:val="BodyText"/>
      </w:pPr>
      <w:r>
        <w:rPr>
          <w:b/>
          <w:bCs/>
        </w:rPr>
        <w:t xml:space="preserve">2.1 Fee-Waiver Authorization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Rule</w:t>
            </w:r>
          </w:p>
        </w:tc>
        <w:tc>
          <w:tcPr/>
          <w:p>
            <w:pPr>
              <w:pStyle w:val="Compact"/>
            </w:pPr>
            <w:r>
              <w:t xml:space="preserve">Severity</w:t>
            </w:r>
          </w:p>
        </w:tc>
      </w:tr>
      <w:tr>
        <w:tc>
          <w:tcPr/>
          <w:p>
            <w:pPr>
              <w:pStyle w:val="Compact"/>
            </w:pPr>
            <w:r>
              <w:rPr>
                <w:b/>
                <w:bCs/>
              </w:rPr>
              <w:t xml:space="preserve">BNK-FIN-RULE-001</w:t>
            </w:r>
          </w:p>
        </w:tc>
        <w:tc>
          <w:tcPr/>
          <w:p>
            <w:pPr>
              <w:pStyle w:val="Compact"/>
            </w:pPr>
            <w:r>
              <w:t xml:space="preserve">Banker single-call authorization cap is $250 in fee waivers and courtesy credits per transaction. Any amount above $250 requires an approved Manager Approval ticket before the banker communicates a number to the customer. Tickets are resolved within 1 business day.</w:t>
            </w:r>
          </w:p>
        </w:tc>
        <w:tc>
          <w:tcPr/>
          <w:p>
            <w:pPr>
              <w:pStyle w:val="Compact"/>
            </w:pPr>
            <w:r>
              <w:rPr>
                <w:b/>
                <w:bCs/>
              </w:rPr>
              <w:t xml:space="preserve">CRITICAL</w:t>
            </w:r>
          </w:p>
        </w:tc>
      </w:tr>
      <w:tr>
        <w:tc>
          <w:tcPr/>
          <w:p>
            <w:pPr>
              <w:pStyle w:val="Compact"/>
            </w:pPr>
            <w:r>
              <w:rPr>
                <w:b/>
                <w:bCs/>
              </w:rPr>
              <w:t xml:space="preserve">BNK-FIN-RULE-002</w:t>
            </w:r>
          </w:p>
        </w:tc>
        <w:tc>
          <w:tcPr/>
          <w:p>
            <w:pPr>
              <w:pStyle w:val="Compact"/>
            </w:pPr>
            <w:r>
              <w:t xml:space="preserve">Banker must never promise a waiver or credit amount to the customer before authorization is confirmed. For amounts above $250:</w:t>
            </w:r>
            <w:r>
              <w:t xml:space="preserve"> </w:t>
            </w:r>
            <w:r>
              <w:t xml:space="preserve">‘I am opening a Manager Approval ticket for this; you will receive an outcome within one business day.’</w:t>
            </w:r>
          </w:p>
        </w:tc>
        <w:tc>
          <w:tcPr/>
          <w:p>
            <w:pPr>
              <w:pStyle w:val="Compact"/>
            </w:pPr>
            <w:r>
              <w:rPr>
                <w:b/>
                <w:bCs/>
              </w:rPr>
              <w:t xml:space="preserve">CRITICAL</w:t>
            </w:r>
          </w:p>
        </w:tc>
      </w:tr>
      <w:tr>
        <w:tc>
          <w:tcPr/>
          <w:p>
            <w:pPr>
              <w:pStyle w:val="Compact"/>
            </w:pPr>
            <w:r>
              <w:rPr>
                <w:b/>
                <w:bCs/>
              </w:rPr>
              <w:t xml:space="preserve">BNK-FIN-RULE-003</w:t>
            </w:r>
          </w:p>
        </w:tc>
        <w:tc>
          <w:tcPr/>
          <w:p>
            <w:pPr>
              <w:pStyle w:val="Compact"/>
            </w:pPr>
            <w:r>
              <w:t xml:space="preserve">Courtesy waivers are limited to one per account per 180-day period. The system will block a second application. A blocked second application requires Manager Approval.</w:t>
            </w:r>
          </w:p>
        </w:tc>
        <w:tc>
          <w:tcPr/>
          <w:p>
            <w:pPr>
              <w:pStyle w:val="Compact"/>
            </w:pPr>
            <w:r>
              <w:rPr>
                <w:b/>
                <w:bCs/>
              </w:rPr>
              <w:t xml:space="preserve">MAJOR</w:t>
            </w:r>
          </w:p>
        </w:tc>
      </w:tr>
    </w:tbl>
    <w:p>
      <w:pPr>
        <w:pStyle w:val="BodyText"/>
      </w:pPr>
      <w:r>
        <w:rPr>
          <w:b/>
          <w:bCs/>
        </w:rPr>
        <w:t xml:space="preserve">2.2 Common Fee Waiver Scenarios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Scenario</w:t>
            </w:r>
          </w:p>
        </w:tc>
        <w:tc>
          <w:tcPr/>
          <w:p>
            <w:pPr>
              <w:pStyle w:val="Compact"/>
            </w:pPr>
            <w:r>
              <w:t xml:space="preserve">Standard Waiver</w:t>
            </w:r>
          </w:p>
        </w:tc>
      </w:tr>
      <w:tr>
        <w:tc>
          <w:tcPr/>
          <w:p>
            <w:pPr>
              <w:pStyle w:val="Compact"/>
            </w:pPr>
            <w:r>
              <w:t xml:space="preserve">Overdraft fee — 1st occurrence in 12 months</w:t>
            </w:r>
          </w:p>
        </w:tc>
        <w:tc>
          <w:tcPr/>
          <w:p>
            <w:pPr>
              <w:pStyle w:val="Compact"/>
            </w:pPr>
            <w:r>
              <w:t xml:space="preserve">Waive 100% as one-time courtesy (within cap)</w:t>
            </w:r>
          </w:p>
        </w:tc>
      </w:tr>
      <w:tr>
        <w:tc>
          <w:tcPr/>
          <w:p>
            <w:pPr>
              <w:pStyle w:val="Compact"/>
            </w:pPr>
            <w:r>
              <w:t xml:space="preserve">Overdraft fee — recurring</w:t>
            </w:r>
          </w:p>
        </w:tc>
        <w:tc>
          <w:tcPr/>
          <w:p>
            <w:pPr>
              <w:pStyle w:val="Compact"/>
            </w:pPr>
            <w:r>
              <w:t xml:space="preserve">Up to 50% waiver, requires reason code</w:t>
            </w:r>
          </w:p>
        </w:tc>
      </w:tr>
      <w:tr>
        <w:tc>
          <w:tcPr/>
          <w:p>
            <w:pPr>
              <w:pStyle w:val="Compact"/>
            </w:pPr>
            <w:r>
              <w:t xml:space="preserve">Monthly maintenance fee on dormant account</w:t>
            </w:r>
          </w:p>
        </w:tc>
        <w:tc>
          <w:tcPr/>
          <w:p>
            <w:pPr>
              <w:pStyle w:val="Compact"/>
            </w:pPr>
            <w:r>
              <w:t xml:space="preserve">Waive 100% (within cap)</w:t>
            </w:r>
          </w:p>
        </w:tc>
      </w:tr>
      <w:tr>
        <w:tc>
          <w:tcPr/>
          <w:p>
            <w:pPr>
              <w:pStyle w:val="Compact"/>
            </w:pPr>
            <w:r>
              <w:t xml:space="preserve">Returned-deposit fee on a customer-not-at-fault item</w:t>
            </w:r>
          </w:p>
        </w:tc>
        <w:tc>
          <w:tcPr/>
          <w:p>
            <w:pPr>
              <w:pStyle w:val="Compact"/>
            </w:pPr>
            <w:r>
              <w:t xml:space="preserve">Waive 100%</w:t>
            </w:r>
          </w:p>
        </w:tc>
      </w:tr>
      <w:tr>
        <w:tc>
          <w:tcPr/>
          <w:p>
            <w:pPr>
              <w:pStyle w:val="Compact"/>
            </w:pPr>
            <w:r>
              <w:t xml:space="preserve">Wire transfer fee on a wire that failed due to bank error</w:t>
            </w:r>
          </w:p>
        </w:tc>
        <w:tc>
          <w:tcPr/>
          <w:p>
            <w:pPr>
              <w:pStyle w:val="Compact"/>
            </w:pPr>
            <w:r>
              <w:t xml:space="preserve">Waive 100% + refund the wire amount via Operations ticket</w:t>
            </w:r>
          </w:p>
        </w:tc>
      </w:tr>
      <w:tr>
        <w:tc>
          <w:tcPr/>
          <w:p>
            <w:pPr>
              <w:pStyle w:val="Compact"/>
            </w:pPr>
            <w:r>
              <w:t xml:space="preserve">ATM out-of-network fee</w:t>
            </w:r>
          </w:p>
        </w:tc>
        <w:tc>
          <w:tcPr/>
          <w:p>
            <w:pPr>
              <w:pStyle w:val="Compact"/>
            </w:pPr>
            <w:r>
              <w:t xml:space="preserve">Apologise; no waiver standard</w:t>
            </w:r>
          </w:p>
        </w:tc>
      </w:tr>
    </w:tbl>
    <w:p>
      <w:pPr>
        <w:pStyle w:val="BodyText"/>
      </w:pPr>
      <w:r>
        <w:rPr>
          <w:b/>
          <w:bCs/>
        </w:rPr>
        <w:t xml:space="preserve">Billing codes:</w:t>
      </w:r>
      <w:r>
        <w:t xml:space="preserve"> </w:t>
      </w:r>
      <w:r>
        <w:t xml:space="preserve">- Fee waiver →</w:t>
      </w:r>
      <w:r>
        <w:t xml:space="preserve"> </w:t>
      </w:r>
      <w:r>
        <w:rPr>
          <w:rStyle w:val="VerbatimChar"/>
        </w:rPr>
        <w:t xml:space="preserve">ADJ-FEE-WAIVE</w:t>
      </w:r>
      <w:r>
        <w:t xml:space="preserve"> </w:t>
      </w:r>
      <w:r>
        <w:t xml:space="preserve">- Courtesy credit →</w:t>
      </w:r>
      <w:r>
        <w:t xml:space="preserve"> </w:t>
      </w:r>
      <w:r>
        <w:rPr>
          <w:rStyle w:val="VerbatimChar"/>
        </w:rPr>
        <w:t xml:space="preserve">ADJ-COURTESY</w:t>
      </w:r>
      <w:r>
        <w:t xml:space="preserve"> </w:t>
      </w:r>
      <w:r>
        <w:t xml:space="preserve">- Manager-approved override →</w:t>
      </w:r>
      <w:r>
        <w:t xml:space="preserve"> </w:t>
      </w:r>
      <w:r>
        <w:rPr>
          <w:rStyle w:val="VerbatimChar"/>
        </w:rPr>
        <w:t xml:space="preserve">ADJ-MGR-OVERRIDE</w:t>
      </w:r>
      <w:r>
        <w:t xml:space="preserve"> </w:t>
      </w:r>
      <w:r>
        <w:t xml:space="preserve">(only after ticket approval)</w:t>
      </w:r>
      <w:r>
        <w:t xml:space="preserve"> </w:t>
      </w:r>
      <w:r>
        <w:t xml:space="preserve">- Reg E provisional credit →</w:t>
      </w:r>
      <w:r>
        <w:t xml:space="preserve"> </w:t>
      </w:r>
      <w:r>
        <w:rPr>
          <w:rStyle w:val="VerbatimChar"/>
        </w:rPr>
        <w:t xml:space="preserve">ADJ-REGE-PROV</w:t>
      </w:r>
      <w:r>
        <w:t xml:space="preserve"> </w:t>
      </w:r>
      <w:r>
        <w:t xml:space="preserve">- Reg E final credit →</w:t>
      </w:r>
      <w:r>
        <w:t xml:space="preserve"> </w:t>
      </w:r>
      <w:r>
        <w:rPr>
          <w:rStyle w:val="VerbatimChar"/>
        </w:rPr>
        <w:t xml:space="preserve">ADJ-REGE-FINAL</w:t>
      </w:r>
    </w:p>
    <w:p>
      <w:pPr>
        <w:pStyle w:val="BodyText"/>
      </w:pPr>
      <w:r>
        <w:rPr>
          <w:b/>
          <w:bCs/>
        </w:rPr>
        <w:t xml:space="preserve">2.3 Provisional Credit Authority (Reg 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Rule</w:t>
            </w:r>
          </w:p>
        </w:tc>
        <w:tc>
          <w:tcPr/>
          <w:p>
            <w:pPr>
              <w:pStyle w:val="Compact"/>
            </w:pPr>
            <w:r>
              <w:t xml:space="preserve">Severity</w:t>
            </w:r>
          </w:p>
        </w:tc>
      </w:tr>
      <w:tr>
        <w:tc>
          <w:tcPr/>
          <w:p>
            <w:pPr>
              <w:pStyle w:val="Compact"/>
            </w:pPr>
            <w:r>
              <w:rPr>
                <w:b/>
                <w:bCs/>
              </w:rPr>
              <w:t xml:space="preserve">BNK-FIN-RULE-004</w:t>
            </w:r>
          </w:p>
        </w:tc>
        <w:tc>
          <w:tcPr/>
          <w:p>
            <w:pPr>
              <w:pStyle w:val="Compact"/>
            </w:pPr>
            <w:r>
              <w:t xml:space="preserve">For Reg E disputes (unauthorized electronic transactions), banker may issue provisional credit up to $500 at their seat after taking the dispute, provided 3-of-5 verification is complete and the disputed item is within 60 days of the statement date. Above $500, Manager Approval ticket required. Final determination is made by the Reg E adjudication team within 10 business days.</w:t>
            </w:r>
          </w:p>
        </w:tc>
        <w:tc>
          <w:tcPr/>
          <w:p>
            <w:pPr>
              <w:pStyle w:val="Compact"/>
            </w:pPr>
            <w:r>
              <w:rPr>
                <w:b/>
                <w:bCs/>
              </w:rPr>
              <w:t xml:space="preserve">CRITICAL</w:t>
            </w:r>
          </w:p>
        </w:tc>
      </w:tr>
      <w:tr>
        <w:tc>
          <w:tcPr/>
          <w:p>
            <w:pPr>
              <w:pStyle w:val="Compact"/>
            </w:pPr>
            <w:r>
              <w:rPr>
                <w:b/>
                <w:bCs/>
              </w:rPr>
              <w:t xml:space="preserve">BNK-FIN-RULE-005</w:t>
            </w:r>
          </w:p>
        </w:tc>
        <w:tc>
          <w:tcPr/>
          <w:p>
            <w:pPr>
              <w:pStyle w:val="Compact"/>
            </w:pPr>
            <w:r>
              <w:t xml:space="preserve">Banker must NOT promise a final outcome on a Reg E dispute — only the provisional credit. Phrasing:</w:t>
            </w:r>
            <w:r>
              <w:t xml:space="preserve"> </w:t>
            </w:r>
            <w:r>
              <w:t xml:space="preserve">‘I am issuing a provisional credit of $X today while we investigate. You will receive a written determination within ten business days.’</w:t>
            </w:r>
          </w:p>
        </w:tc>
        <w:tc>
          <w:tcPr/>
          <w:p>
            <w:pPr>
              <w:pStyle w:val="Compact"/>
            </w:pPr>
            <w:r>
              <w:rPr>
                <w:b/>
                <w:bCs/>
              </w:rPr>
              <w:t xml:space="preserve">CRITICAL</w:t>
            </w:r>
          </w:p>
        </w:tc>
      </w:tr>
    </w:tbl>
    <w:p>
      <w:pPr>
        <w:pStyle w:val="BodyText"/>
      </w:pPr>
      <w:r>
        <w:rPr>
          <w:b/>
          <w:bCs/>
        </w:rPr>
        <w:t xml:space="preserve">2.4 Repeat-Complaint Pattern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Rule</w:t>
            </w:r>
          </w:p>
        </w:tc>
        <w:tc>
          <w:tcPr/>
          <w:p>
            <w:pPr>
              <w:pStyle w:val="Compact"/>
            </w:pPr>
            <w:r>
              <w:t xml:space="preserve">Severity</w:t>
            </w:r>
          </w:p>
        </w:tc>
      </w:tr>
      <w:tr>
        <w:tc>
          <w:tcPr/>
          <w:p>
            <w:pPr>
              <w:pStyle w:val="Compact"/>
            </w:pPr>
            <w:r>
              <w:rPr>
                <w:b/>
                <w:bCs/>
              </w:rPr>
              <w:t xml:space="preserve">BNK-FIN-RULE-006</w:t>
            </w:r>
          </w:p>
        </w:tc>
        <w:tc>
          <w:tcPr/>
          <w:p>
            <w:pPr>
              <w:pStyle w:val="Compact"/>
            </w:pPr>
            <w:r>
              <w:t xml:space="preserve">Accounts with more than 3 fee-waiver or dispute requests in 90 days are automatically flagged. Banker must inform the customer that the request is under review and route to Consumer Compliance via ticket. Decisions within 1 business day.</w:t>
            </w:r>
          </w:p>
        </w:tc>
        <w:tc>
          <w:tcPr/>
          <w:p>
            <w:pPr>
              <w:pStyle w:val="Compact"/>
            </w:pPr>
            <w:r>
              <w:rPr>
                <w:b/>
                <w:bCs/>
              </w:rPr>
              <w:t xml:space="preserve">MAJOR</w:t>
            </w:r>
          </w:p>
        </w:tc>
      </w:tr>
    </w:tbl>
    <w:p>
      <w:pPr>
        <w:pStyle w:val="BodyText"/>
      </w:pPr>
      <w:r>
        <w:rPr>
          <w:b/>
          <w:bCs/>
        </w:rPr>
        <w:t xml:space="preserve">3. Regulatory Compliance (BNK-REG-RULE)</w:t>
      </w:r>
    </w:p>
    <w:p>
      <w:pPr>
        <w:pStyle w:val="BodyText"/>
      </w:pPr>
      <w:r>
        <w:rPr>
          <w:b/>
          <w:bCs/>
        </w:rPr>
        <w:t xml:space="preserve">3.1 KYC / Customer Identification Program</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Rule</w:t>
            </w:r>
          </w:p>
        </w:tc>
        <w:tc>
          <w:tcPr/>
          <w:p>
            <w:pPr>
              <w:pStyle w:val="Compact"/>
            </w:pPr>
            <w:r>
              <w:t xml:space="preserve">Severity</w:t>
            </w:r>
          </w:p>
        </w:tc>
      </w:tr>
      <w:tr>
        <w:tc>
          <w:tcPr/>
          <w:p>
            <w:pPr>
              <w:pStyle w:val="Compact"/>
            </w:pPr>
            <w:r>
              <w:rPr>
                <w:b/>
                <w:bCs/>
              </w:rPr>
              <w:t xml:space="preserve">BNK-REG-RULE-001</w:t>
            </w:r>
          </w:p>
        </w:tc>
        <w:tc>
          <w:tcPr/>
          <w:p>
            <w:pPr>
              <w:pStyle w:val="Compact"/>
            </w:pPr>
            <w:r>
              <w:t xml:space="preserve">At account opening, banker must collect and verify: full legal name, date of birth, physical residential address (not a PO box for personal accounts), and SSN/Tax ID. Customer must be screened against the OFAC SDN list before the account is opened. Failure to complete the CIP before funding is a CRITICAL violation.</w:t>
            </w:r>
          </w:p>
        </w:tc>
        <w:tc>
          <w:tcPr/>
          <w:p>
            <w:pPr>
              <w:pStyle w:val="Compact"/>
            </w:pPr>
            <w:r>
              <w:rPr>
                <w:b/>
                <w:bCs/>
              </w:rPr>
              <w:t xml:space="preserve">CRITICAL</w:t>
            </w:r>
          </w:p>
        </w:tc>
      </w:tr>
      <w:tr>
        <w:tc>
          <w:tcPr/>
          <w:p>
            <w:pPr>
              <w:pStyle w:val="Compact"/>
            </w:pPr>
            <w:r>
              <w:rPr>
                <w:b/>
                <w:bCs/>
              </w:rPr>
              <w:t xml:space="preserve">BNK-REG-RULE-002</w:t>
            </w:r>
          </w:p>
        </w:tc>
        <w:tc>
          <w:tcPr/>
          <w:p>
            <w:pPr>
              <w:pStyle w:val="Compact"/>
            </w:pPr>
            <w:r>
              <w:t xml:space="preserve">For business accounts, banker must additionally verify the business legal entity (EIN, formation documents), beneficial ownership for any individual owning 25% or more, and the control person per the Beneficial Ownership Rule.</w:t>
            </w:r>
          </w:p>
        </w:tc>
        <w:tc>
          <w:tcPr/>
          <w:p>
            <w:pPr>
              <w:pStyle w:val="Compact"/>
            </w:pPr>
            <w:r>
              <w:rPr>
                <w:b/>
                <w:bCs/>
              </w:rPr>
              <w:t xml:space="preserve">CRITICAL</w:t>
            </w:r>
          </w:p>
        </w:tc>
      </w:tr>
    </w:tbl>
    <w:p>
      <w:pPr>
        <w:pStyle w:val="BodyText"/>
      </w:pPr>
      <w:r>
        <w:rPr>
          <w:b/>
          <w:bCs/>
        </w:rPr>
        <w:t xml:space="preserve">3.2 Truth-in-Lending Act (TILA / Reg Z)</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Rule</w:t>
            </w:r>
          </w:p>
        </w:tc>
        <w:tc>
          <w:tcPr/>
          <w:p>
            <w:pPr>
              <w:pStyle w:val="Compact"/>
            </w:pPr>
            <w:r>
              <w:t xml:space="preserve">Severity</w:t>
            </w:r>
          </w:p>
        </w:tc>
      </w:tr>
      <w:tr>
        <w:tc>
          <w:tcPr/>
          <w:p>
            <w:pPr>
              <w:pStyle w:val="Compact"/>
            </w:pPr>
            <w:r>
              <w:rPr>
                <w:b/>
                <w:bCs/>
              </w:rPr>
              <w:t xml:space="preserve">BNK-REG-RULE-003</w:t>
            </w:r>
          </w:p>
        </w:tc>
        <w:tc>
          <w:tcPr/>
          <w:p>
            <w:pPr>
              <w:pStyle w:val="Compact"/>
            </w:pPr>
            <w:r>
              <w:t xml:space="preserve">Banker must NEVER quote a specific loan or mortgage rate from memory. All rate quotes must come from the current live rate sheet and be accompanied by the required TILA disclosures: APR, finance charge, amount financed, total of payments. Quoting a rate without these disclosures is a violation.</w:t>
            </w:r>
          </w:p>
        </w:tc>
        <w:tc>
          <w:tcPr/>
          <w:p>
            <w:pPr>
              <w:pStyle w:val="Compact"/>
            </w:pPr>
            <w:r>
              <w:rPr>
                <w:b/>
                <w:bCs/>
              </w:rPr>
              <w:t xml:space="preserve">CRITICAL</w:t>
            </w:r>
          </w:p>
        </w:tc>
      </w:tr>
      <w:tr>
        <w:tc>
          <w:tcPr/>
          <w:p>
            <w:pPr>
              <w:pStyle w:val="Compact"/>
            </w:pPr>
            <w:r>
              <w:rPr>
                <w:b/>
                <w:bCs/>
              </w:rPr>
              <w:t xml:space="preserve">BNK-REG-RULE-004</w:t>
            </w:r>
          </w:p>
        </w:tc>
        <w:tc>
          <w:tcPr/>
          <w:p>
            <w:pPr>
              <w:pStyle w:val="Compact"/>
            </w:pPr>
            <w:r>
              <w:t xml:space="preserve">For mortgage and Home Equity inquiries, the Loan Estimate must be issued within 3 business days of receiving a complete application (6 pieces of information per Reg Z).</w:t>
            </w:r>
          </w:p>
        </w:tc>
        <w:tc>
          <w:tcPr/>
          <w:p>
            <w:pPr>
              <w:pStyle w:val="Compact"/>
            </w:pPr>
            <w:r>
              <w:rPr>
                <w:b/>
                <w:bCs/>
              </w:rPr>
              <w:t xml:space="preserve">MAJOR</w:t>
            </w:r>
          </w:p>
        </w:tc>
      </w:tr>
      <w:tr>
        <w:tc>
          <w:tcPr/>
          <w:p>
            <w:pPr>
              <w:pStyle w:val="Compact"/>
            </w:pPr>
            <w:r>
              <w:rPr>
                <w:b/>
                <w:bCs/>
              </w:rPr>
              <w:t xml:space="preserve">BNK-REG-RULE-005</w:t>
            </w:r>
          </w:p>
        </w:tc>
        <w:tc>
          <w:tcPr/>
          <w:p>
            <w:pPr>
              <w:pStyle w:val="Compact"/>
            </w:pPr>
            <w:r>
              <w:t xml:space="preserve">Banker must not advise a customer to misrepresent income, employment, or intent of use on any loan application. Doing so is a CRITICAL violation and may constitute loan fraud.</w:t>
            </w:r>
          </w:p>
        </w:tc>
        <w:tc>
          <w:tcPr/>
          <w:p>
            <w:pPr>
              <w:pStyle w:val="Compact"/>
            </w:pPr>
            <w:r>
              <w:rPr>
                <w:b/>
                <w:bCs/>
              </w:rPr>
              <w:t xml:space="preserve">CRITICAL</w:t>
            </w:r>
          </w:p>
        </w:tc>
      </w:tr>
    </w:tbl>
    <w:p>
      <w:pPr>
        <w:pStyle w:val="BodyText"/>
      </w:pPr>
      <w:r>
        <w:rPr>
          <w:b/>
          <w:bCs/>
        </w:rPr>
        <w:t xml:space="preserve">3.3 Truth-in-Savings (Reg DD)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Rule</w:t>
            </w:r>
          </w:p>
        </w:tc>
        <w:tc>
          <w:tcPr/>
          <w:p>
            <w:pPr>
              <w:pStyle w:val="Compact"/>
            </w:pPr>
            <w:r>
              <w:t xml:space="preserve">Severity</w:t>
            </w:r>
          </w:p>
        </w:tc>
      </w:tr>
      <w:tr>
        <w:tc>
          <w:tcPr/>
          <w:p>
            <w:pPr>
              <w:pStyle w:val="Compact"/>
            </w:pPr>
            <w:r>
              <w:rPr>
                <w:b/>
                <w:bCs/>
              </w:rPr>
              <w:t xml:space="preserve">BNK-REG-RULE-006</w:t>
            </w:r>
          </w:p>
        </w:tc>
        <w:tc>
          <w:tcPr/>
          <w:p>
            <w:pPr>
              <w:pStyle w:val="Compact"/>
            </w:pPr>
            <w:r>
              <w:t xml:space="preserve">At deposit account opening, banker must disclose: APY, minimum balance, compounding frequency, fees that may be imposed, and any rate variability. The customer must acknowledge receipt of the Truth-in-Savings disclosure before funding.</w:t>
            </w:r>
          </w:p>
        </w:tc>
        <w:tc>
          <w:tcPr/>
          <w:p>
            <w:pPr>
              <w:pStyle w:val="Compact"/>
            </w:pPr>
            <w:r>
              <w:rPr>
                <w:b/>
                <w:bCs/>
              </w:rPr>
              <w:t xml:space="preserve">MAJOR</w:t>
            </w:r>
          </w:p>
        </w:tc>
      </w:tr>
    </w:tbl>
    <w:p>
      <w:pPr>
        <w:pStyle w:val="BodyText"/>
      </w:pPr>
      <w:r>
        <w:rPr>
          <w:b/>
          <w:bCs/>
        </w:rPr>
        <w:t xml:space="preserve">3.4 Reg E — Electronic Funds Transfers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Rule</w:t>
            </w:r>
          </w:p>
        </w:tc>
        <w:tc>
          <w:tcPr/>
          <w:p>
            <w:pPr>
              <w:pStyle w:val="Compact"/>
            </w:pPr>
            <w:r>
              <w:t xml:space="preserve">Severity</w:t>
            </w:r>
          </w:p>
        </w:tc>
      </w:tr>
      <w:tr>
        <w:tc>
          <w:tcPr/>
          <w:p>
            <w:pPr>
              <w:pStyle w:val="Compact"/>
            </w:pPr>
            <w:r>
              <w:rPr>
                <w:b/>
                <w:bCs/>
              </w:rPr>
              <w:t xml:space="preserve">BNK-REG-RULE-007</w:t>
            </w:r>
          </w:p>
        </w:tc>
        <w:tc>
          <w:tcPr/>
          <w:p>
            <w:pPr>
              <w:pStyle w:val="Compact"/>
            </w:pPr>
            <w:r>
              <w:t xml:space="preserve">Reg E governs disputes for unauthorized electronic transactions: ATM, debit card, ACH, online banking transfers. Customer must be granted full Reg E rights: 10 business days for provisional determination, 45 calendar days for final determination (extended to 90 for new accounts, foreign transactions, or POS). Banker may not waive or shorten these rights.</w:t>
            </w:r>
          </w:p>
        </w:tc>
        <w:tc>
          <w:tcPr/>
          <w:p>
            <w:pPr>
              <w:pStyle w:val="Compact"/>
            </w:pPr>
            <w:r>
              <w:rPr>
                <w:b/>
                <w:bCs/>
              </w:rPr>
              <w:t xml:space="preserve">CRITICAL</w:t>
            </w:r>
          </w:p>
        </w:tc>
      </w:tr>
      <w:tr>
        <w:tc>
          <w:tcPr/>
          <w:p>
            <w:pPr>
              <w:pStyle w:val="Compact"/>
            </w:pPr>
            <w:r>
              <w:rPr>
                <w:b/>
                <w:bCs/>
              </w:rPr>
              <w:t xml:space="preserve">BNK-REG-RULE-008</w:t>
            </w:r>
          </w:p>
        </w:tc>
        <w:tc>
          <w:tcPr/>
          <w:p>
            <w:pPr>
              <w:pStyle w:val="Compact"/>
            </w:pPr>
            <w:r>
              <w:t xml:space="preserve">Banker must accept a Reg E claim from the customer on the call; the customer is NOT required to sign a written claim before provisional credit is issued, though the written claim must follow within 10 business days.</w:t>
            </w:r>
          </w:p>
        </w:tc>
        <w:tc>
          <w:tcPr/>
          <w:p>
            <w:pPr>
              <w:pStyle w:val="Compact"/>
            </w:pPr>
            <w:r>
              <w:rPr>
                <w:b/>
                <w:bCs/>
              </w:rPr>
              <w:t xml:space="preserve">CRITICAL</w:t>
            </w:r>
          </w:p>
        </w:tc>
      </w:tr>
    </w:tbl>
    <w:p>
      <w:pPr>
        <w:pStyle w:val="BodyText"/>
      </w:pPr>
      <w:r>
        <w:rPr>
          <w:b/>
          <w:bCs/>
        </w:rPr>
        <w:t xml:space="preserve">3.5 BSA / Anti-Money Laundering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Rule</w:t>
            </w:r>
          </w:p>
        </w:tc>
        <w:tc>
          <w:tcPr/>
          <w:p>
            <w:pPr>
              <w:pStyle w:val="Compact"/>
            </w:pPr>
            <w:r>
              <w:t xml:space="preserve">Severity</w:t>
            </w:r>
          </w:p>
        </w:tc>
      </w:tr>
      <w:tr>
        <w:tc>
          <w:tcPr/>
          <w:p>
            <w:pPr>
              <w:pStyle w:val="Compact"/>
            </w:pPr>
            <w:r>
              <w:rPr>
                <w:b/>
                <w:bCs/>
              </w:rPr>
              <w:t xml:space="preserve">BNK-REG-RULE-009</w:t>
            </w:r>
          </w:p>
        </w:tc>
        <w:tc>
          <w:tcPr/>
          <w:p>
            <w:pPr>
              <w:pStyle w:val="Compact"/>
            </w:pPr>
            <w:r>
              <w:t xml:space="preserve">Cash transactions aggregating more than $10,000 in a single business day require a Currency Transaction Report (CTR). The banker collecting the deposit/withdrawal initiates the CTR; the customer must complete IRS Form 8300 information collection.</w:t>
            </w:r>
          </w:p>
        </w:tc>
        <w:tc>
          <w:tcPr/>
          <w:p>
            <w:pPr>
              <w:pStyle w:val="Compact"/>
            </w:pPr>
            <w:r>
              <w:rPr>
                <w:b/>
                <w:bCs/>
              </w:rPr>
              <w:t xml:space="preserve">CRITICAL</w:t>
            </w:r>
          </w:p>
        </w:tc>
      </w:tr>
      <w:tr>
        <w:tc>
          <w:tcPr/>
          <w:p>
            <w:pPr>
              <w:pStyle w:val="Compact"/>
            </w:pPr>
            <w:r>
              <w:rPr>
                <w:b/>
                <w:bCs/>
              </w:rPr>
              <w:t xml:space="preserve">BNK-REG-RULE-010</w:t>
            </w:r>
          </w:p>
        </w:tc>
        <w:tc>
          <w:tcPr/>
          <w:p>
            <w:pPr>
              <w:pStyle w:val="Compact"/>
            </w:pPr>
            <w:r>
              <w:t xml:space="preserve">If the banker observes a pattern that may indicate structuring (e.g. repeated cash deposits just under $10,000), they must NOT alert the customer in any way. The banker continues to serve the customer normally and refers the pattern to the BSA Officer via the AML/BSA ticket queue immediately after the call. This is the no-tip-off rule and is examination-critical.</w:t>
            </w:r>
          </w:p>
        </w:tc>
        <w:tc>
          <w:tcPr/>
          <w:p>
            <w:pPr>
              <w:pStyle w:val="Compact"/>
            </w:pPr>
            <w:r>
              <w:rPr>
                <w:b/>
                <w:bCs/>
              </w:rPr>
              <w:t xml:space="preserve">CRITICAL</w:t>
            </w:r>
          </w:p>
        </w:tc>
      </w:tr>
      <w:tr>
        <w:tc>
          <w:tcPr/>
          <w:p>
            <w:pPr>
              <w:pStyle w:val="Compact"/>
            </w:pPr>
            <w:r>
              <w:rPr>
                <w:b/>
                <w:bCs/>
              </w:rPr>
              <w:t xml:space="preserve">BNK-REG-RULE-011</w:t>
            </w:r>
          </w:p>
        </w:tc>
        <w:tc>
          <w:tcPr/>
          <w:p>
            <w:pPr>
              <w:pStyle w:val="Compact"/>
            </w:pPr>
            <w:r>
              <w:t xml:space="preserve">A Suspicious Activity Report (SAR) is filed by the BSA Officer, not by the banker. The customer must NEVER be told a SAR has been filed, considered, or is under review. Doing so is a federal violation.</w:t>
            </w:r>
          </w:p>
        </w:tc>
        <w:tc>
          <w:tcPr/>
          <w:p>
            <w:pPr>
              <w:pStyle w:val="Compact"/>
            </w:pPr>
            <w:r>
              <w:rPr>
                <w:b/>
                <w:bCs/>
              </w:rPr>
              <w:t xml:space="preserve">CRITICAL</w:t>
            </w:r>
          </w:p>
        </w:tc>
      </w:tr>
      <w:tr>
        <w:tc>
          <w:tcPr/>
          <w:p>
            <w:pPr>
              <w:pStyle w:val="Compact"/>
            </w:pPr>
            <w:r>
              <w:rPr>
                <w:b/>
                <w:bCs/>
              </w:rPr>
              <w:t xml:space="preserve">BNK-REG-RULE-012</w:t>
            </w:r>
          </w:p>
        </w:tc>
        <w:tc>
          <w:tcPr/>
          <w:p>
            <w:pPr>
              <w:pStyle w:val="Compact"/>
            </w:pPr>
            <w:r>
              <w:t xml:space="preserve">OFAC SDN list hits must be escalated to the BSA Officer immediately and the transaction must not be processed until cleared. Customer must be told the transaction is</w:t>
            </w:r>
            <w:r>
              <w:t xml:space="preserve"> </w:t>
            </w:r>
            <w:r>
              <w:t xml:space="preserve">‘under additional review’</w:t>
            </w:r>
            <w:r>
              <w:t xml:space="preserve"> </w:t>
            </w:r>
            <w:r>
              <w:t xml:space="preserve">— no further detail.</w:t>
            </w:r>
          </w:p>
        </w:tc>
        <w:tc>
          <w:tcPr/>
          <w:p>
            <w:pPr>
              <w:pStyle w:val="Compact"/>
            </w:pPr>
            <w:r>
              <w:rPr>
                <w:b/>
                <w:bCs/>
              </w:rPr>
              <w:t xml:space="preserve">CRITICAL</w:t>
            </w:r>
          </w:p>
        </w:tc>
      </w:tr>
    </w:tbl>
    <w:p>
      <w:pPr>
        <w:pStyle w:val="BodyText"/>
      </w:pPr>
      <w:r>
        <w:rPr>
          <w:b/>
          <w:bCs/>
        </w:rPr>
        <w:t xml:space="preserve">4. Fraud Procedures (BNK-FRAUD-RULE)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Rule</w:t>
            </w:r>
          </w:p>
        </w:tc>
        <w:tc>
          <w:tcPr/>
          <w:p>
            <w:pPr>
              <w:pStyle w:val="Compact"/>
            </w:pPr>
            <w:r>
              <w:t xml:space="preserve">Severity</w:t>
            </w:r>
          </w:p>
        </w:tc>
      </w:tr>
      <w:tr>
        <w:tc>
          <w:tcPr/>
          <w:p>
            <w:pPr>
              <w:pStyle w:val="Compact"/>
            </w:pPr>
            <w:r>
              <w:rPr>
                <w:b/>
                <w:bCs/>
              </w:rPr>
              <w:t xml:space="preserve">BNK-FRAUD-RULE-001</w:t>
            </w:r>
          </w:p>
        </w:tc>
        <w:tc>
          <w:tcPr/>
          <w:p>
            <w:pPr>
              <w:pStyle w:val="Compact"/>
            </w:pPr>
            <w:r>
              <w:t xml:space="preserve">When fraud is reported, banker must immediately freeze the disputed amount on the account so it is not collected pending investigation. Freeze first, investigate second.</w:t>
            </w:r>
          </w:p>
        </w:tc>
        <w:tc>
          <w:tcPr/>
          <w:p>
            <w:pPr>
              <w:pStyle w:val="Compact"/>
            </w:pPr>
            <w:r>
              <w:rPr>
                <w:b/>
                <w:bCs/>
              </w:rPr>
              <w:t xml:space="preserve">CRITICAL</w:t>
            </w:r>
          </w:p>
        </w:tc>
      </w:tr>
      <w:tr>
        <w:tc>
          <w:tcPr/>
          <w:p>
            <w:pPr>
              <w:pStyle w:val="Compact"/>
            </w:pPr>
            <w:r>
              <w:rPr>
                <w:b/>
                <w:bCs/>
              </w:rPr>
              <w:t xml:space="preserve">BNK-FRAUD-RULE-002</w:t>
            </w:r>
          </w:p>
        </w:tc>
        <w:tc>
          <w:tcPr/>
          <w:p>
            <w:pPr>
              <w:pStyle w:val="Compact"/>
            </w:pPr>
            <w:r>
              <w:t xml:space="preserve">For card fraud (lost/stolen/skimmed card with unauthorized charges), banker must close the compromised card immediately, order a replacement, and open a Fraud Operations ticket. Replacement card SLA: 3-5 business days standard, 1 business day expedited (waived fee for fraud).</w:t>
            </w:r>
          </w:p>
        </w:tc>
        <w:tc>
          <w:tcPr/>
          <w:p>
            <w:pPr>
              <w:pStyle w:val="Compact"/>
            </w:pPr>
            <w:r>
              <w:rPr>
                <w:b/>
                <w:bCs/>
              </w:rPr>
              <w:t xml:space="preserve">CRITICAL</w:t>
            </w:r>
          </w:p>
        </w:tc>
      </w:tr>
      <w:tr>
        <w:tc>
          <w:tcPr/>
          <w:p>
            <w:pPr>
              <w:pStyle w:val="Compact"/>
            </w:pPr>
            <w:r>
              <w:rPr>
                <w:b/>
                <w:bCs/>
              </w:rPr>
              <w:t xml:space="preserve">BNK-FRAUD-RULE-003</w:t>
            </w:r>
          </w:p>
        </w:tc>
        <w:tc>
          <w:tcPr/>
          <w:p>
            <w:pPr>
              <w:pStyle w:val="Compact"/>
            </w:pPr>
            <w:r>
              <w:t xml:space="preserve">For check fraud (forged/altered checks), banker must place a check-by-check hold, image the disputed item, and open a Fraud Operations ticket. Final determination within 10 business days.</w:t>
            </w:r>
          </w:p>
        </w:tc>
        <w:tc>
          <w:tcPr/>
          <w:p>
            <w:pPr>
              <w:pStyle w:val="Compact"/>
            </w:pPr>
            <w:r>
              <w:rPr>
                <w:b/>
                <w:bCs/>
              </w:rPr>
              <w:t xml:space="preserve">CRITICAL</w:t>
            </w:r>
          </w:p>
        </w:tc>
      </w:tr>
      <w:tr>
        <w:tc>
          <w:tcPr/>
          <w:p>
            <w:pPr>
              <w:pStyle w:val="Compact"/>
            </w:pPr>
            <w:r>
              <w:rPr>
                <w:b/>
                <w:bCs/>
              </w:rPr>
              <w:t xml:space="preserve">BNK-FRAUD-RULE-004</w:t>
            </w:r>
          </w:p>
        </w:tc>
        <w:tc>
          <w:tcPr/>
          <w:p>
            <w:pPr>
              <w:pStyle w:val="Compact"/>
            </w:pPr>
            <w:r>
              <w:t xml:space="preserve">Fraud Operations ticket SLA: initial follow-up within 4 hours, provisional credit determination within 10 business days (matches Reg E).</w:t>
            </w:r>
          </w:p>
        </w:tc>
        <w:tc>
          <w:tcPr/>
          <w:p>
            <w:pPr>
              <w:pStyle w:val="Compact"/>
            </w:pPr>
            <w:r>
              <w:rPr>
                <w:b/>
                <w:bCs/>
              </w:rPr>
              <w:t xml:space="preserve">MAJOR</w:t>
            </w:r>
          </w:p>
        </w:tc>
      </w:tr>
      <w:tr>
        <w:tc>
          <w:tcPr/>
          <w:p>
            <w:pPr>
              <w:pStyle w:val="Compact"/>
            </w:pPr>
            <w:r>
              <w:rPr>
                <w:b/>
                <w:bCs/>
              </w:rPr>
              <w:t xml:space="preserve">BNK-FRAUD-RULE-005</w:t>
            </w:r>
          </w:p>
        </w:tc>
        <w:tc>
          <w:tcPr/>
          <w:p>
            <w:pPr>
              <w:pStyle w:val="Compact"/>
            </w:pPr>
            <w:r>
              <w:t xml:space="preserve">Banker must NOT promise the customer a refund of the disputed amount before the fraud investigation concludes; only provisional credit (per Reg E) is permitted.</w:t>
            </w:r>
          </w:p>
        </w:tc>
        <w:tc>
          <w:tcPr/>
          <w:p>
            <w:pPr>
              <w:pStyle w:val="Compact"/>
            </w:pPr>
            <w:r>
              <w:rPr>
                <w:b/>
                <w:bCs/>
              </w:rPr>
              <w:t xml:space="preserve">CRITICAL</w:t>
            </w:r>
          </w:p>
        </w:tc>
      </w:tr>
      <w:tr>
        <w:tc>
          <w:tcPr/>
          <w:p>
            <w:pPr>
              <w:pStyle w:val="Compact"/>
            </w:pPr>
            <w:r>
              <w:rPr>
                <w:b/>
                <w:bCs/>
              </w:rPr>
              <w:t xml:space="preserve">BNK-FRAUD-RULE-006</w:t>
            </w:r>
          </w:p>
        </w:tc>
        <w:tc>
          <w:tcPr/>
          <w:p>
            <w:pPr>
              <w:pStyle w:val="Compact"/>
            </w:pPr>
            <w:r>
              <w:t xml:space="preserve">Wire transfer fraud reports require the Wire Recall procedure: banker contacts the Wire Operations team while the customer is on the line if the wire is still recoverable (typically within 24 hours of send). Recovery is not guaranteed once funds have settled at the beneficiary bank.</w:t>
            </w:r>
          </w:p>
        </w:tc>
        <w:tc>
          <w:tcPr/>
          <w:p>
            <w:pPr>
              <w:pStyle w:val="Compact"/>
            </w:pPr>
            <w:r>
              <w:rPr>
                <w:b/>
                <w:bCs/>
              </w:rPr>
              <w:t xml:space="preserve">CRITICAL</w:t>
            </w:r>
          </w:p>
        </w:tc>
      </w:tr>
    </w:tbl>
    <w:p>
      <w:pPr>
        <w:pStyle w:val="BodyText"/>
      </w:pPr>
      <w:r>
        <w:rPr>
          <w:b/>
          <w:bCs/>
        </w:rPr>
        <w:t xml:space="preserve">4.1 Elder &amp; Vulnerable Customer Financial Exploitation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Rule</w:t>
            </w:r>
          </w:p>
        </w:tc>
        <w:tc>
          <w:tcPr/>
          <w:p>
            <w:pPr>
              <w:pStyle w:val="Compact"/>
            </w:pPr>
            <w:r>
              <w:t xml:space="preserve">Severity</w:t>
            </w:r>
          </w:p>
        </w:tc>
      </w:tr>
      <w:tr>
        <w:tc>
          <w:tcPr/>
          <w:p>
            <w:pPr>
              <w:pStyle w:val="Compact"/>
            </w:pPr>
            <w:r>
              <w:rPr>
                <w:b/>
                <w:bCs/>
              </w:rPr>
              <w:t xml:space="preserve">BNK-FRAUD-RULE-007</w:t>
            </w:r>
          </w:p>
        </w:tc>
        <w:tc>
          <w:tcPr/>
          <w:p>
            <w:pPr>
              <w:pStyle w:val="Compact"/>
            </w:pPr>
            <w:r>
              <w:t xml:space="preserve">If a banker observes signs of suspected financial exploitation (e.g. urgency, secrecy, third-party direction, unusual transactions on an elderly or vulnerable customer’s account, payments to known scam targets such as gift-card vendors or international wire to unknown beneficiaries), banker must: (1) pause the requested transaction, (2) ask probing questions per the Suspected Financial Exploitation script, (3) decline the transaction if exploitation is more likely than not, (4) open a FRAUD-RULE-007 case, (5) file an Adult Protective Services referral if state law requires. The customer’s wishes do NOT override this duty.</w:t>
            </w:r>
          </w:p>
        </w:tc>
        <w:tc>
          <w:tcPr/>
          <w:p>
            <w:pPr>
              <w:pStyle w:val="Compact"/>
            </w:pPr>
            <w:r>
              <w:rPr>
                <w:b/>
                <w:bCs/>
              </w:rPr>
              <w:t xml:space="preserve">CRITICAL</w:t>
            </w:r>
          </w:p>
        </w:tc>
      </w:tr>
      <w:tr>
        <w:tc>
          <w:tcPr/>
          <w:p>
            <w:pPr>
              <w:pStyle w:val="Compact"/>
            </w:pPr>
            <w:r>
              <w:rPr>
                <w:b/>
                <w:bCs/>
              </w:rPr>
              <w:t xml:space="preserve">BNK-FRAUD-RULE-008</w:t>
            </w:r>
          </w:p>
        </w:tc>
        <w:tc>
          <w:tcPr/>
          <w:p>
            <w:pPr>
              <w:pStyle w:val="Compact"/>
            </w:pPr>
            <w:r>
              <w:t xml:space="preserve">Bankers handling FRAUD-RULE-007 cases must use slower pace, lower pitch, and gentler tone, and offer to keep the customer on the line while contacting a designated trusted contact (per the Senior Safe Act consent on file).</w:t>
            </w:r>
          </w:p>
        </w:tc>
        <w:tc>
          <w:tcPr/>
          <w:p>
            <w:pPr>
              <w:pStyle w:val="Compact"/>
            </w:pPr>
            <w:r>
              <w:rPr>
                <w:b/>
                <w:bCs/>
              </w:rPr>
              <w:t xml:space="preserve">MAJOR</w:t>
            </w:r>
          </w:p>
        </w:tc>
      </w:tr>
    </w:tbl>
    <w:p>
      <w:pPr>
        <w:pStyle w:val="BodyText"/>
      </w:pPr>
      <w:r>
        <w:rPr>
          <w:b/>
          <w:bCs/>
        </w:rPr>
        <w:t xml:space="preserve">4.2 Account-Takeover &amp; Identity Theft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Rule</w:t>
            </w:r>
          </w:p>
        </w:tc>
        <w:tc>
          <w:tcPr/>
          <w:p>
            <w:pPr>
              <w:pStyle w:val="Compact"/>
            </w:pPr>
            <w:r>
              <w:t xml:space="preserve">Severity</w:t>
            </w:r>
          </w:p>
        </w:tc>
      </w:tr>
      <w:tr>
        <w:tc>
          <w:tcPr/>
          <w:p>
            <w:pPr>
              <w:pStyle w:val="Compact"/>
            </w:pPr>
            <w:r>
              <w:rPr>
                <w:b/>
                <w:bCs/>
              </w:rPr>
              <w:t xml:space="preserve">BNK-FRAUD-RULE-009</w:t>
            </w:r>
          </w:p>
        </w:tc>
        <w:tc>
          <w:tcPr/>
          <w:p>
            <w:pPr>
              <w:pStyle w:val="Compact"/>
            </w:pPr>
            <w:r>
              <w:t xml:space="preserve">Suspected account takeover triggers the BNK-SEC-RULE-010 freeze procedure plus an Identity Theft Affidavit packet being mailed to the customer’s address on file (NOT to any address provided on the call).</w:t>
            </w:r>
          </w:p>
        </w:tc>
        <w:tc>
          <w:tcPr/>
          <w:p>
            <w:pPr>
              <w:pStyle w:val="Compact"/>
            </w:pPr>
            <w:r>
              <w:rPr>
                <w:b/>
                <w:bCs/>
              </w:rPr>
              <w:t xml:space="preserve">CRITICAL</w:t>
            </w:r>
          </w:p>
        </w:tc>
      </w:tr>
      <w:tr>
        <w:tc>
          <w:tcPr/>
          <w:p>
            <w:pPr>
              <w:pStyle w:val="Compact"/>
            </w:pPr>
            <w:r>
              <w:rPr>
                <w:b/>
                <w:bCs/>
              </w:rPr>
              <w:t xml:space="preserve">BNK-FRAUD-RULE-010</w:t>
            </w:r>
          </w:p>
        </w:tc>
        <w:tc>
          <w:tcPr/>
          <w:p>
            <w:pPr>
              <w:pStyle w:val="Compact"/>
            </w:pPr>
            <w:r>
              <w:t xml:space="preserve">Banker must advise the customer to place a fraud alert with the three credit bureaus and to file a report at IdentityTheft.gov. Banker must not file these on the customer’s behalf.</w:t>
            </w:r>
          </w:p>
        </w:tc>
        <w:tc>
          <w:tcPr/>
          <w:p>
            <w:pPr>
              <w:pStyle w:val="Compact"/>
            </w:pPr>
            <w:r>
              <w:rPr>
                <w:b/>
                <w:bCs/>
              </w:rPr>
              <w:t xml:space="preserve">MAJOR</w:t>
            </w:r>
          </w:p>
        </w:tc>
      </w:tr>
    </w:tbl>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2026-05-20T17:46:14Z</dcterms:created>
  <dcterms:modified xsi:type="dcterms:W3CDTF">2026-05-20T17:46:14Z</dcterms:modified>
</cp:coreProperties>
</file>

<file path=docProps/custom.xml><?xml version="1.0" encoding="utf-8"?>
<Properties xmlns="http://schemas.openxmlformats.org/officeDocument/2006/custom-properties" xmlns:vt="http://schemas.openxmlformats.org/officeDocument/2006/docPropsVTypes"/>
</file>