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MERIDIAN TRUST BANK</w:t>
      </w:r>
    </w:p>
    <w:p>
      <w:pPr>
        <w:pStyle w:val="BodyText"/>
      </w:pPr>
      <w:r>
        <w:rPr>
          <w:b/>
          <w:bCs/>
        </w:rPr>
        <w:t xml:space="preserve">STANDARD OPERATING PROCEDURE — AML / BSA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BNK-SOP-05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20/5/2026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 Rules</w:t>
            </w:r>
          </w:p>
        </w:tc>
        <w:tc>
          <w:tcPr/>
          <w:p>
            <w:pPr>
              <w:pStyle w:val="Compact"/>
            </w:pPr>
            <w:r>
              <w:t xml:space="preserve">BNK-REG-RULE-009..012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Purpose</w:t>
      </w:r>
    </w:p>
    <w:p>
      <w:pPr>
        <w:pStyle w:val="BodyText"/>
      </w:pPr>
      <w:r>
        <w:t xml:space="preserve">Standardize banker behaviour during the calls where Bank Secrecy Act and Anti-Money Laundering obligations are triggered — Currency Transaction Reports (CTRs), structuring patterns, Suspicious Activity Reports (SARs), and OFAC SDN hits — so that the bank meets its federal obligations without tipping off the customer.</w:t>
      </w:r>
    </w:p>
    <w:p>
      <w:pPr>
        <w:pStyle w:val="BodyText"/>
      </w:pPr>
      <w:r>
        <w:rPr>
          <w:b/>
          <w:bCs/>
        </w:rPr>
        <w:t xml:space="preserve">2. Pre-Conditions</w:t>
      </w:r>
    </w:p>
    <w:p>
      <w:pPr>
        <w:pStyle w:val="Compact"/>
        <w:numPr>
          <w:ilvl w:val="0"/>
          <w:numId w:val="1001"/>
        </w:numPr>
      </w:pPr>
      <w:r>
        <w:t xml:space="preserve">3-of-5 identity verification complete (BNK-CC-RULE-004) for any account access.</w:t>
      </w:r>
    </w:p>
    <w:p>
      <w:pPr>
        <w:pStyle w:val="Compact"/>
        <w:numPr>
          <w:ilvl w:val="0"/>
          <w:numId w:val="1001"/>
        </w:numPr>
      </w:pPr>
      <w:r>
        <w:t xml:space="preserve">Banker has access to the AML/BSA Officer ticket queue and the OFAC live screen.</w:t>
      </w:r>
    </w:p>
    <w:p>
      <w:pPr>
        <w:pStyle w:val="FirstParagraph"/>
      </w:pPr>
      <w:r>
        <w:rPr>
          <w:b/>
          <w:bCs/>
        </w:rPr>
        <w:t xml:space="preserve">3. Procedure</w:t>
      </w:r>
    </w:p>
    <w:p>
      <w:pPr>
        <w:pStyle w:val="BodyText"/>
      </w:pPr>
      <w:r>
        <w:rPr>
          <w:b/>
          <w:bCs/>
        </w:rPr>
        <w:t xml:space="preserve">3A. Currency Transaction Report (CTR) — BNK-REG-RULE-009</w:t>
      </w:r>
    </w:p>
    <w:p>
      <w:pPr>
        <w:pStyle w:val="BodyText"/>
      </w:pPr>
      <w:r>
        <w:t xml:space="preserve">Triggered by cash deposits, withdrawals, currency exchange, or any cash transactions aggregating more than $10,000 in a single business day for a single customer (or related customers, in which case aggregation rules apply).</w:t>
      </w:r>
    </w:p>
    <w:p>
      <w:pPr>
        <w:pStyle w:val="Compact"/>
        <w:numPr>
          <w:ilvl w:val="0"/>
          <w:numId w:val="1002"/>
        </w:numPr>
      </w:pPr>
      <w:r>
        <w:t xml:space="preserve">The banker collecting the transaction initiates the CTR in the system.</w:t>
      </w:r>
    </w:p>
    <w:p>
      <w:pPr>
        <w:pStyle w:val="Compact"/>
        <w:numPr>
          <w:ilvl w:val="0"/>
          <w:numId w:val="1002"/>
        </w:numPr>
      </w:pPr>
      <w:r>
        <w:t xml:space="preserve">Customer must provide the information needed for IRS Form 8300: full legal name, SSN/Tax ID, date of birth, occupation, address, government-issued ID details.</w:t>
      </w:r>
    </w:p>
    <w:p>
      <w:pPr>
        <w:pStyle w:val="Compact"/>
        <w:numPr>
          <w:ilvl w:val="0"/>
          <w:numId w:val="1002"/>
        </w:numPr>
      </w:pPr>
      <w:r>
        <w:t xml:space="preserve">The banker may explain to the customer that a CTR is required by federal law for cash transactions over the threshold — this is NOT a tip-off; it is the standard disclosure.</w:t>
      </w:r>
    </w:p>
    <w:p>
      <w:pPr>
        <w:pStyle w:val="Compact"/>
        <w:numPr>
          <w:ilvl w:val="0"/>
          <w:numId w:val="1002"/>
        </w:numPr>
      </w:pPr>
      <w:r>
        <w:t xml:space="preserve">The CTR is filed by Operations; the customer receives no follow-up.</w:t>
      </w:r>
    </w:p>
    <w:p>
      <w:pPr>
        <w:pStyle w:val="FirstParagraph"/>
      </w:pPr>
      <w:r>
        <w:rPr>
          <w:b/>
          <w:bCs/>
        </w:rPr>
        <w:t xml:space="preserve">3B. Structuring Pattern — BNK-REG-RULE-010 (no-tip-off rule)</w:t>
      </w:r>
    </w:p>
    <w:p>
      <w:pPr>
        <w:pStyle w:val="BodyText"/>
      </w:pPr>
      <w:r>
        <w:t xml:space="preserve">Triggered by a pattern that suggests deliberate avoidance of the CTR threshold:</w:t>
      </w:r>
      <w:r>
        <w:t xml:space="preserve"> </w:t>
      </w:r>
      <w:r>
        <w:t xml:space="preserve">- Repeated cash deposits or withdrawals just under $10,000</w:t>
      </w:r>
      <w:r>
        <w:t xml:space="preserve"> </w:t>
      </w:r>
      <w:r>
        <w:t xml:space="preserve">- Same-day deposits to multiple accounts that aggregate over $10,000</w:t>
      </w:r>
      <w:r>
        <w:t xml:space="preserve"> </w:t>
      </w:r>
      <w:r>
        <w:t xml:space="preserve">- Withdrawals broken across multiple branches or ATMs</w:t>
      </w:r>
    </w:p>
    <w:p>
      <w:pPr>
        <w:pStyle w:val="BodyText"/>
      </w:pPr>
      <w:r>
        <w:rPr>
          <w:b/>
          <w:bCs/>
        </w:rPr>
        <w:t xml:space="preserve">Required banker behaviour: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alert the customer in any way.</w:t>
      </w:r>
      <w:r>
        <w:t xml:space="preserve"> </w:t>
      </w:r>
      <w:r>
        <w:t xml:space="preserve">Do not change tone. Do not say</w:t>
      </w:r>
      <w:r>
        <w:t xml:space="preserve"> </w:t>
      </w:r>
      <w:r>
        <w:t xml:space="preserve">“I notice these are just under the limit.”</w:t>
      </w:r>
      <w:r>
        <w:t xml:space="preserve"> </w:t>
      </w:r>
      <w:r>
        <w:t xml:space="preserve">Do not say</w:t>
      </w:r>
      <w:r>
        <w:t xml:space="preserve"> </w:t>
      </w:r>
      <w:r>
        <w:t xml:space="preserve">“the system has flagged this.”</w:t>
      </w:r>
      <w:r>
        <w:t xml:space="preserve"> </w:t>
      </w:r>
      <w:r>
        <w:t xml:space="preserve">Do not say</w:t>
      </w:r>
      <w:r>
        <w:t xml:space="preserve"> </w:t>
      </w:r>
      <w:r>
        <w:t xml:space="preserve">“I need to talk to someone.”</w:t>
      </w:r>
      <w:r>
        <w:t xml:space="preserve"> </w:t>
      </w:r>
      <w:r>
        <w:t xml:space="preserve">Continue to serve the customer normally as if nothing is unusual.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complete the transaction(s) the customer is requesting</w:t>
      </w:r>
      <w:r>
        <w:t xml:space="preserve"> </w:t>
      </w:r>
      <w:r>
        <w:t xml:space="preserve">if there is no other reason to decline. Suspecting structuring is NOT, by itself, a reason to refuse service.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After the call</w:t>
      </w:r>
      <w:r>
        <w:t xml:space="preserve">, immediately open an AML/BSA referral ticket to the BSA Officer with:</w:t>
      </w:r>
    </w:p>
    <w:p>
      <w:pPr>
        <w:pStyle w:val="Compact"/>
        <w:numPr>
          <w:ilvl w:val="1"/>
          <w:numId w:val="1004"/>
        </w:numPr>
      </w:pPr>
      <w:r>
        <w:t xml:space="preserve">All observed transactions and amounts</w:t>
      </w:r>
    </w:p>
    <w:p>
      <w:pPr>
        <w:pStyle w:val="Compact"/>
        <w:numPr>
          <w:ilvl w:val="1"/>
          <w:numId w:val="1004"/>
        </w:numPr>
      </w:pPr>
      <w:r>
        <w:t xml:space="preserve">Customer-provided rationale, if any</w:t>
      </w:r>
    </w:p>
    <w:p>
      <w:pPr>
        <w:pStyle w:val="Compact"/>
        <w:numPr>
          <w:ilvl w:val="1"/>
          <w:numId w:val="1004"/>
        </w:numPr>
      </w:pPr>
      <w:r>
        <w:t xml:space="preserve">Branch / channel where each transaction occurred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tell the customer</w:t>
      </w:r>
      <w:r>
        <w:t xml:space="preserve"> </w:t>
      </w:r>
      <w:r>
        <w:t xml:space="preserve">a referral has been made, considered, or is being reviewed (BNK-REG-RULE-011).</w:t>
      </w:r>
    </w:p>
    <w:p>
      <w:pPr>
        <w:pStyle w:val="FirstParagraph"/>
      </w:pPr>
      <w:r>
        <w:t xml:space="preserve">This is the most examination-critical AML behaviour. Tipping off a structurer is a federal crime under 31 USC 5324.</w:t>
      </w:r>
    </w:p>
    <w:p>
      <w:pPr>
        <w:pStyle w:val="BodyText"/>
      </w:pPr>
      <w:r>
        <w:rPr>
          <w:b/>
          <w:bCs/>
        </w:rPr>
        <w:t xml:space="preserve">3C. Suspicious Activity Report (SAR) — BNK-REG-RULE-011 (no-tip-off rule)</w:t>
      </w:r>
    </w:p>
    <w:p>
      <w:pPr>
        <w:pStyle w:val="BodyText"/>
      </w:pPr>
      <w:r>
        <w:t xml:space="preserve">SARs are filed by the BSA Officer, NOT by the banker. The banker’s job is to observe, refer, and stay quiet.</w:t>
      </w:r>
    </w:p>
    <w:p>
      <w:pPr>
        <w:pStyle w:val="BodyText"/>
      </w:pPr>
      <w:r>
        <w:t xml:space="preserve">The customer must NEVER be told:</w:t>
      </w:r>
      <w:r>
        <w:t xml:space="preserve"> </w:t>
      </w:r>
      <w:r>
        <w:t xml:space="preserve">- That a SAR has been filed</w:t>
      </w:r>
      <w:r>
        <w:t xml:space="preserve"> </w:t>
      </w:r>
      <w:r>
        <w:t xml:space="preserve">- That a SAR is being considered</w:t>
      </w:r>
      <w:r>
        <w:t xml:space="preserve"> </w:t>
      </w:r>
      <w:r>
        <w:t xml:space="preserve">- That the customer’s transactions are under</w:t>
      </w:r>
      <w:r>
        <w:t xml:space="preserve"> </w:t>
      </w:r>
      <w:r>
        <w:t xml:space="preserve">“AML review”</w:t>
      </w:r>
      <w:r>
        <w:t xml:space="preserve"> </w:t>
      </w:r>
      <w:r>
        <w:t xml:space="preserve">or</w:t>
      </w:r>
      <w:r>
        <w:t xml:space="preserve"> </w:t>
      </w:r>
      <w:r>
        <w:t xml:space="preserve">“BSA review”</w:t>
      </w:r>
      <w:r>
        <w:t xml:space="preserve"> </w:t>
      </w:r>
      <w:r>
        <w:t xml:space="preserve">- That the customer’s account is</w:t>
      </w:r>
      <w:r>
        <w:t xml:space="preserve"> </w:t>
      </w:r>
      <w:r>
        <w:t xml:space="preserve">“being looked at by Compliance for AML reasons”</w:t>
      </w:r>
    </w:p>
    <w:p>
      <w:pPr>
        <w:pStyle w:val="BodyText"/>
      </w:pPr>
      <w:r>
        <w:t xml:space="preserve">If the customer asks why a transaction is delayed, banker may say</w:t>
      </w:r>
      <w:r>
        <w:t xml:space="preserve"> </w:t>
      </w:r>
      <w:r>
        <w:t xml:space="preserve">“the transaction is under additional review”</w:t>
      </w:r>
      <w:r>
        <w:t xml:space="preserve"> </w:t>
      </w:r>
      <w:r>
        <w:t xml:space="preserve">with no further detail (BNK-REG-RULE-012 same language for OFAC).</w:t>
      </w:r>
    </w:p>
    <w:p>
      <w:pPr>
        <w:pStyle w:val="BodyText"/>
      </w:pPr>
      <w:r>
        <w:t xml:space="preserve">This rule applies even after the SAR period ends, even after the account closes, even years later. SARs are forever-confidential.</w:t>
      </w:r>
    </w:p>
    <w:p>
      <w:pPr>
        <w:pStyle w:val="BodyText"/>
      </w:pPr>
      <w:r>
        <w:rPr>
          <w:b/>
          <w:bCs/>
        </w:rPr>
        <w:t xml:space="preserve">3D. OFAC SDN Hit — BNK-REG-RULE-012</w:t>
      </w:r>
    </w:p>
    <w:p>
      <w:pPr>
        <w:pStyle w:val="BodyText"/>
      </w:pPr>
      <w:r>
        <w:t xml:space="preserve">Triggered when an OFAC live screen returns a possible match for a customer, counterparty, or wire beneficiary against the SDN (Specially Designated Nationals) list.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Stop the transaction immediately.</w:t>
      </w:r>
      <w:r>
        <w:t xml:space="preserve"> </w:t>
      </w:r>
      <w:r>
        <w:t xml:space="preserve">Do not process.</w:t>
      </w:r>
    </w:p>
    <w:p>
      <w:pPr>
        <w:pStyle w:val="Compact"/>
        <w:numPr>
          <w:ilvl w:val="0"/>
          <w:numId w:val="1005"/>
        </w:numPr>
      </w:pPr>
      <w:r>
        <w:t xml:space="preserve">Tell the customer the transaction is</w:t>
      </w:r>
      <w:r>
        <w:t xml:space="preserve"> </w:t>
      </w:r>
      <w:r>
        <w:t xml:space="preserve">“under additional review”</w:t>
      </w:r>
      <w:r>
        <w:t xml:space="preserve"> </w:t>
      </w:r>
      <w:r>
        <w:t xml:space="preserve">— no further detail.</w:t>
      </w:r>
    </w:p>
    <w:p>
      <w:pPr>
        <w:pStyle w:val="Compact"/>
        <w:numPr>
          <w:ilvl w:val="0"/>
          <w:numId w:val="1005"/>
        </w:numPr>
      </w:pPr>
      <w:r>
        <w:t xml:space="preserve">Escalate to the BSA Officer immediately via warm-line.</w:t>
      </w:r>
    </w:p>
    <w:p>
      <w:pPr>
        <w:pStyle w:val="Compact"/>
        <w:numPr>
          <w:ilvl w:val="0"/>
          <w:numId w:val="1005"/>
        </w:numPr>
      </w:pPr>
      <w:r>
        <w:t xml:space="preserve">Do not unblock the transaction without explicit BSA Officer clearance.</w:t>
      </w:r>
    </w:p>
    <w:p>
      <w:pPr>
        <w:pStyle w:val="Compact"/>
        <w:numPr>
          <w:ilvl w:val="0"/>
          <w:numId w:val="1005"/>
        </w:numPr>
      </w:pPr>
      <w:r>
        <w:t xml:space="preserve">If the hit is confirmed (true match), the transaction must be blocked and reported per OFAC reporting rules. The BSA Officer handles all communication after the initial banker freeze.</w:t>
      </w:r>
    </w:p>
    <w:p>
      <w:pPr>
        <w:pStyle w:val="FirstParagraph"/>
      </w:pPr>
      <w:r>
        <w:rPr>
          <w:b/>
          <w:bCs/>
        </w:rPr>
        <w:t xml:space="preserve">4. Common Failure Modes (QA Watch List)</w:t>
      </w:r>
    </w:p>
    <w:p>
      <w:pPr>
        <w:pStyle w:val="Compact"/>
        <w:numPr>
          <w:ilvl w:val="0"/>
          <w:numId w:val="1006"/>
        </w:numPr>
      </w:pPr>
      <w:r>
        <w:t xml:space="preserve">Telling a customer</w:t>
      </w:r>
      <w:r>
        <w:t xml:space="preserve"> </w:t>
      </w:r>
      <w:r>
        <w:t xml:space="preserve">“I notice you’re depositing just under ten thousand a few times”</w:t>
      </w:r>
      <w:r>
        <w:t xml:space="preserve"> </w:t>
      </w:r>
      <w:r>
        <w:t xml:space="preserve">→ BNK-REG-RULE-010 federal violation</w:t>
      </w:r>
    </w:p>
    <w:p>
      <w:pPr>
        <w:pStyle w:val="Compact"/>
        <w:numPr>
          <w:ilvl w:val="0"/>
          <w:numId w:val="1006"/>
        </w:numPr>
      </w:pPr>
      <w:r>
        <w:t xml:space="preserve">Telling a customer</w:t>
      </w:r>
      <w:r>
        <w:t xml:space="preserve"> </w:t>
      </w:r>
      <w:r>
        <w:t xml:space="preserve">“we may need to file a SAR”</w:t>
      </w:r>
      <w:r>
        <w:t xml:space="preserve"> </w:t>
      </w:r>
      <w:r>
        <w:t xml:space="preserve">→ BNK-REG-RULE-011 federal violation</w:t>
      </w:r>
    </w:p>
    <w:p>
      <w:pPr>
        <w:pStyle w:val="Compact"/>
        <w:numPr>
          <w:ilvl w:val="0"/>
          <w:numId w:val="1006"/>
        </w:numPr>
      </w:pPr>
      <w:r>
        <w:t xml:space="preserve">Processing an OFAC-hit transaction before clearance → BNK-REG-RULE-012 violation</w:t>
      </w:r>
    </w:p>
    <w:p>
      <w:pPr>
        <w:pStyle w:val="Compact"/>
        <w:numPr>
          <w:ilvl w:val="0"/>
          <w:numId w:val="1006"/>
        </w:numPr>
      </w:pPr>
      <w:r>
        <w:t xml:space="preserve">Filling out a CTR by attributing the cash to someone other than the actual person making the transaction → CTR-falsification violation</w:t>
      </w:r>
    </w:p>
    <w:p>
      <w:pPr>
        <w:pStyle w:val="Compact"/>
        <w:numPr>
          <w:ilvl w:val="0"/>
          <w:numId w:val="1006"/>
        </w:numPr>
      </w:pPr>
      <w:r>
        <w:t xml:space="preserve">Refusing to serve a customer suspected of structuring (other than declining the specific structuring action) → operational error and potential discrimination claim</w:t>
      </w:r>
    </w:p>
    <w:p>
      <w:pPr>
        <w:pStyle w:val="FirstParagraph"/>
      </w:pPr>
      <w:r>
        <w:rPr>
          <w:b/>
          <w:bCs/>
        </w:rPr>
        <w:t xml:space="preserve">5. Compliance Anchors</w:t>
      </w:r>
    </w:p>
    <w:p>
      <w:pPr>
        <w:pStyle w:val="Compact"/>
        <w:numPr>
          <w:ilvl w:val="0"/>
          <w:numId w:val="1007"/>
        </w:numPr>
      </w:pPr>
      <w:r>
        <w:t xml:space="preserve">The no-tip-off rule is absolute. Better to err on the side of saying nothing than risk a tip-off.</w:t>
      </w:r>
    </w:p>
    <w:p>
      <w:pPr>
        <w:pStyle w:val="Compact"/>
        <w:numPr>
          <w:ilvl w:val="0"/>
          <w:numId w:val="1007"/>
        </w:numPr>
      </w:pPr>
      <w:r>
        <w:t xml:space="preserve">The customer’s perception during these calls should be that the call is completely routine.</w:t>
      </w:r>
    </w:p>
    <w:p>
      <w:pPr>
        <w:pStyle w:val="Compact"/>
        <w:numPr>
          <w:ilvl w:val="0"/>
          <w:numId w:val="1007"/>
        </w:numPr>
      </w:pPr>
      <w:r>
        <w:t xml:space="preserve">All AML/BSA activity routes via the BSA Officer; bankers do not file forms directly.</w:t>
      </w:r>
    </w:p>
    <w:p>
      <w:pPr>
        <w:pStyle w:val="Compact"/>
        <w:numPr>
          <w:ilvl w:val="0"/>
          <w:numId w:val="1007"/>
        </w:numPr>
      </w:pPr>
      <w:r>
        <w:t xml:space="preserve">BNK-CC-RULE-023 exception: post-call survey is NOT offered after any AML/BSA-flagged interaction.</w:t>
      </w:r>
    </w:p>
    <w:p>
      <w:pPr>
        <w:pStyle w:val="FirstParagraph"/>
      </w:pPr>
      <w:r>
        <w:rPr>
          <w:b/>
          <w:bCs/>
        </w:rPr>
        <w:t xml:space="preserve">6. Escalation</w:t>
      </w:r>
    </w:p>
    <w:p>
      <w:pPr>
        <w:pStyle w:val="Compact"/>
        <w:numPr>
          <w:ilvl w:val="0"/>
          <w:numId w:val="1008"/>
        </w:numPr>
      </w:pPr>
      <w:r>
        <w:t xml:space="preserve">OFAC SDN hit → BSA Officer warm-line (immediate)</w:t>
      </w:r>
    </w:p>
    <w:p>
      <w:pPr>
        <w:pStyle w:val="Compact"/>
        <w:numPr>
          <w:ilvl w:val="0"/>
          <w:numId w:val="1008"/>
        </w:numPr>
      </w:pPr>
      <w:r>
        <w:t xml:space="preserve">Structuring pattern observed → AML/BSA ticket after the call (no on-call action)</w:t>
      </w:r>
    </w:p>
    <w:p>
      <w:pPr>
        <w:pStyle w:val="Compact"/>
        <w:numPr>
          <w:ilvl w:val="0"/>
          <w:numId w:val="1008"/>
        </w:numPr>
      </w:pPr>
      <w:r>
        <w:t xml:space="preserve">Customer asks pointed questions about AML / SAR / BSA → answer only</w:t>
      </w:r>
      <w:r>
        <w:t xml:space="preserve"> </w:t>
      </w:r>
      <w:r>
        <w:t xml:space="preserve">“we cannot discuss the specifics of any internal review process,”</w:t>
      </w:r>
      <w:r>
        <w:t xml:space="preserve"> </w:t>
      </w:r>
      <w:r>
        <w:t xml:space="preserve">then refer to the BSA Officer ticket</w:t>
      </w:r>
    </w:p>
    <w:p>
      <w:pPr>
        <w:pStyle w:val="Compact"/>
        <w:numPr>
          <w:ilvl w:val="0"/>
          <w:numId w:val="1008"/>
        </w:numPr>
      </w:pPr>
      <w:r>
        <w:t xml:space="preserve">Banker themselves observes possible misconduct by a colleague (e.g. someone tipping off a customer) → Internal Fraud / Compliance hotline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2026-05-20T17:46:14Z</dcterms:created>
  <dcterms:modified xsi:type="dcterms:W3CDTF">2026-05-20T17:46:14Z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