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NEXALINK TELECOMMUNICATIONS</w:t>
      </w:r>
    </w:p>
    <w:p>
      <w:pPr>
        <w:pStyle w:val="BodyText"/>
      </w:pPr>
      <w:r>
        <w:rPr>
          <w:b/>
          <w:bCs/>
        </w:rPr>
        <w:t xml:space="preserve">POLICY: DATA PRIVACY &amp; SECURITY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 ID</w:t>
            </w:r>
          </w:p>
        </w:tc>
        <w:tc>
          <w:tcPr/>
          <w:p>
            <w:pPr>
              <w:pStyle w:val="Compact"/>
            </w:pPr>
            <w:r>
              <w:t xml:space="preserve">SEC-POL-02</w:t>
            </w:r>
          </w:p>
        </w:tc>
      </w:tr>
      <w:tr>
        <w:tc>
          <w:tcPr/>
          <w:p>
            <w:pPr>
              <w:pStyle w:val="Compact"/>
            </w:pPr>
            <w:r>
              <w:rPr>
                <w:b/>
                <w:bCs/>
              </w:rPr>
              <w:t xml:space="preserve">Version</w:t>
            </w:r>
          </w:p>
        </w:tc>
        <w:tc>
          <w:tcPr/>
          <w:p>
            <w:pPr>
              <w:pStyle w:val="Compact"/>
            </w:pPr>
            <w:r>
              <w:t xml:space="preserve">3.0</w:t>
            </w:r>
          </w:p>
        </w:tc>
      </w:tr>
      <w:tr>
        <w:tc>
          <w:tcPr/>
          <w:p>
            <w:pPr>
              <w:pStyle w:val="Compact"/>
            </w:pPr>
            <w:r>
              <w:rPr>
                <w:b/>
                <w:bCs/>
              </w:rPr>
              <w:t xml:space="preserve">Effective Date</w:t>
            </w:r>
          </w:p>
        </w:tc>
        <w:tc>
          <w:tcPr/>
          <w:p>
            <w:pPr>
              <w:pStyle w:val="Compact"/>
            </w:pPr>
            <w:r>
              <w:t xml:space="preserve">18/5/2026</w:t>
            </w:r>
          </w:p>
        </w:tc>
      </w:tr>
      <w:tr>
        <w:tc>
          <w:tcPr/>
          <w:p>
            <w:pPr>
              <w:pStyle w:val="Compact"/>
            </w:pPr>
            <w:r>
              <w:rPr>
                <w:b/>
                <w:bCs/>
              </w:rPr>
              <w:t xml:space="preserve">Department</w:t>
            </w:r>
          </w:p>
        </w:tc>
        <w:tc>
          <w:tcPr/>
          <w:p>
            <w:pPr>
              <w:pStyle w:val="Compact"/>
            </w:pPr>
            <w:r>
              <w:t xml:space="preserve">Compliance &amp; Information Security</w:t>
            </w:r>
          </w:p>
        </w:tc>
      </w:tr>
    </w:tbl>
    <w:p>
      <w:pPr>
        <w:pStyle w:val="BodyText"/>
      </w:pPr>
      <w:r>
        <w:rPr>
          <w:b/>
          <w:bCs/>
        </w:rPr>
        <w:t xml:space="preserve">1. Scope</w:t>
      </w:r>
    </w:p>
    <w:p>
      <w:pPr>
        <w:pStyle w:val="BodyText"/>
      </w:pPr>
      <w:r>
        <w:t xml:space="preserve">Applies to all customer service agents handling customer data. Violations carry disciplinary consequences up to termination. Complies with GDPR, CCPA, Egypt PDPL Law No. 151/2020, and PCI-DSS.</w:t>
      </w:r>
    </w:p>
    <w:p>
      <w:pPr>
        <w:pStyle w:val="BodyText"/>
      </w:pPr>
      <w:r>
        <w:rPr>
          <w:b/>
          <w:bCs/>
        </w:rPr>
        <w:t xml:space="preserve">2. Rules</w:t>
      </w:r>
    </w:p>
    <w:p>
      <w:pPr>
        <w:pStyle w:val="BodyText"/>
      </w:pPr>
      <w:r>
        <w:rPr>
          <w:b/>
          <w:bCs/>
        </w:rPr>
        <w:t xml:space="preserve">2.1 Recording &amp; Privacy Disclosure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SEC-RULE-001</w:t>
            </w:r>
          </w:p>
        </w:tc>
        <w:tc>
          <w:tcPr/>
          <w:p>
            <w:pPr>
              <w:pStyle w:val="Compact"/>
            </w:pPr>
            <w:r>
              <w:t xml:space="preserve">Agent must state the recording notification verbatim at call start if not played by IVR:</w:t>
            </w:r>
            <w:r>
              <w:t xml:space="preserve"> </w:t>
            </w:r>
            <w:r>
              <w:t xml:space="preserve">‘This call may be recorded for quality assurance and training purposes.’</w:t>
            </w:r>
          </w:p>
        </w:tc>
        <w:tc>
          <w:tcPr/>
          <w:p>
            <w:pPr>
              <w:pStyle w:val="Compact"/>
            </w:pPr>
            <w:r>
              <w:rPr>
                <w:b/>
                <w:bCs/>
              </w:rPr>
              <w:t xml:space="preserve">CRITICAL</w:t>
            </w:r>
          </w:p>
        </w:tc>
      </w:tr>
      <w:tr>
        <w:tc>
          <w:tcPr/>
          <w:p>
            <w:pPr>
              <w:pStyle w:val="Compact"/>
            </w:pPr>
            <w:r>
              <w:rPr>
                <w:b/>
                <w:bCs/>
              </w:rPr>
              <w:t xml:space="preserve">SEC-RULE-002</w:t>
            </w:r>
          </w:p>
        </w:tc>
        <w:tc>
          <w:tcPr/>
          <w:p>
            <w:pPr>
              <w:pStyle w:val="Compact"/>
            </w:pPr>
            <w:r>
              <w:t xml:space="preserve">When requesting sensitive customer data (profile update, new contract), agent must state:</w:t>
            </w:r>
            <w:r>
              <w:t xml:space="preserve"> </w:t>
            </w:r>
            <w:r>
              <w:t xml:space="preserve">‘Your data is used solely for service provisioning and support quality, in accordance with our Privacy Policy.’</w:t>
            </w:r>
          </w:p>
        </w:tc>
        <w:tc>
          <w:tcPr/>
          <w:p>
            <w:pPr>
              <w:pStyle w:val="Compact"/>
            </w:pPr>
            <w:r>
              <w:rPr>
                <w:b/>
                <w:bCs/>
              </w:rPr>
              <w:t xml:space="preserve">MAJOR</w:t>
            </w:r>
          </w:p>
        </w:tc>
      </w:tr>
    </w:tbl>
    <w:p>
      <w:pPr>
        <w:pStyle w:val="BodyText"/>
      </w:pPr>
      <w:r>
        <w:rPr>
          <w:b/>
          <w:bCs/>
        </w:rPr>
        <w:t xml:space="preserve">2.2 Payment Data (PCI-DSS)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SEC-RULE-003</w:t>
            </w:r>
          </w:p>
        </w:tc>
        <w:tc>
          <w:tcPr/>
          <w:p>
            <w:pPr>
              <w:pStyle w:val="Compact"/>
            </w:pPr>
            <w:r>
              <w:t xml:space="preserve">Agent must never read back a full credit card or bank account number to a customer under any circumstances. Only the last 4 digits may be referenced.</w:t>
            </w:r>
          </w:p>
        </w:tc>
        <w:tc>
          <w:tcPr/>
          <w:p>
            <w:pPr>
              <w:pStyle w:val="Compact"/>
            </w:pPr>
            <w:r>
              <w:rPr>
                <w:b/>
                <w:bCs/>
              </w:rPr>
              <w:t xml:space="preserve">CRITICAL</w:t>
            </w:r>
          </w:p>
        </w:tc>
      </w:tr>
      <w:tr>
        <w:tc>
          <w:tcPr/>
          <w:p>
            <w:pPr>
              <w:pStyle w:val="Compact"/>
            </w:pPr>
            <w:r>
              <w:rPr>
                <w:b/>
                <w:bCs/>
              </w:rPr>
              <w:t xml:space="preserve">SEC-RULE-004</w:t>
            </w:r>
          </w:p>
        </w:tc>
        <w:tc>
          <w:tcPr/>
          <w:p>
            <w:pPr>
              <w:pStyle w:val="Compact"/>
            </w:pPr>
            <w:r>
              <w:t xml:space="preserve">Agent must never ask for, record, or repeat a card CVV/CVC code.</w:t>
            </w:r>
          </w:p>
        </w:tc>
        <w:tc>
          <w:tcPr/>
          <w:p>
            <w:pPr>
              <w:pStyle w:val="Compact"/>
            </w:pPr>
            <w:r>
              <w:rPr>
                <w:b/>
                <w:bCs/>
              </w:rPr>
              <w:t xml:space="preserve">CRITICAL</w:t>
            </w:r>
          </w:p>
        </w:tc>
      </w:tr>
    </w:tbl>
    <w:p>
      <w:pPr>
        <w:pStyle w:val="BodyText"/>
      </w:pPr>
      <w:r>
        <w:rPr>
          <w:b/>
          <w:bCs/>
        </w:rPr>
        <w:t xml:space="preserve">2.3 Data Handling in Notes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SEC-RULE-005</w:t>
            </w:r>
          </w:p>
        </w:tc>
        <w:tc>
          <w:tcPr/>
          <w:p>
            <w:pPr>
              <w:pStyle w:val="Compact"/>
            </w:pPr>
            <w:r>
              <w:t xml:space="preserve">Case notes must mask all sensitive identifiers. Correct:</w:t>
            </w:r>
            <w:r>
              <w:t xml:space="preserve"> </w:t>
            </w:r>
            <w:r>
              <w:t xml:space="preserve">‘Customer verified via card ending in 1234.’</w:t>
            </w:r>
            <w:r>
              <w:t xml:space="preserve"> </w:t>
            </w:r>
            <w:r>
              <w:t xml:space="preserve">Writing full card or account numbers in notes is a CRITICAL violation.</w:t>
            </w:r>
          </w:p>
        </w:tc>
        <w:tc>
          <w:tcPr/>
          <w:p>
            <w:pPr>
              <w:pStyle w:val="Compact"/>
            </w:pPr>
            <w:r>
              <w:rPr>
                <w:b/>
                <w:bCs/>
              </w:rPr>
              <w:t xml:space="preserve">CRITICAL</w:t>
            </w:r>
          </w:p>
        </w:tc>
      </w:tr>
    </w:tbl>
    <w:p>
      <w:pPr>
        <w:pStyle w:val="BodyText"/>
      </w:pPr>
      <w:r>
        <w:rPr>
          <w:b/>
          <w:bCs/>
        </w:rPr>
        <w:t xml:space="preserve">2.4 Verification Before Access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SEC-RULE-006</w:t>
            </w:r>
          </w:p>
        </w:tc>
        <w:tc>
          <w:tcPr/>
          <w:p>
            <w:pPr>
              <w:pStyle w:val="Compact"/>
            </w:pPr>
            <w:r>
              <w:t xml:space="preserve">Agent must never confirm whether an account exists to an unverified caller. Doing so is a data exposure violation.</w:t>
            </w:r>
          </w:p>
        </w:tc>
        <w:tc>
          <w:tcPr/>
          <w:p>
            <w:pPr>
              <w:pStyle w:val="Compact"/>
            </w:pPr>
            <w:r>
              <w:rPr>
                <w:b/>
                <w:bCs/>
              </w:rPr>
              <w:t xml:space="preserve">CRITICAL</w:t>
            </w:r>
          </w:p>
        </w:tc>
      </w:tr>
      <w:tr>
        <w:tc>
          <w:tcPr/>
          <w:p>
            <w:pPr>
              <w:pStyle w:val="Compact"/>
            </w:pPr>
            <w:r>
              <w:rPr>
                <w:b/>
                <w:bCs/>
              </w:rPr>
              <w:t xml:space="preserve">SEC-RULE-007</w:t>
            </w:r>
          </w:p>
        </w:tc>
        <w:tc>
          <w:tcPr/>
          <w:p>
            <w:pPr>
              <w:pStyle w:val="Compact"/>
            </w:pPr>
            <w:r>
              <w:t xml:space="preserve">Credential resets (PIN, security question) may only be performed after successful 3-of-5 identity verification. If verification cannot be completed over the phone, customer must visit a NexaLink store in person with a government-issued photo ID.</w:t>
            </w:r>
          </w:p>
        </w:tc>
        <w:tc>
          <w:tcPr/>
          <w:p>
            <w:pPr>
              <w:pStyle w:val="Compact"/>
            </w:pPr>
            <w:r>
              <w:rPr>
                <w:b/>
                <w:bCs/>
              </w:rPr>
              <w:t xml:space="preserve">CRITICAL</w:t>
            </w:r>
          </w:p>
        </w:tc>
      </w:tr>
    </w:tbl>
    <w:p>
      <w:pPr>
        <w:pStyle w:val="BodyText"/>
      </w:pPr>
      <w:r>
        <w:rPr>
          <w:b/>
          <w:bCs/>
        </w:rPr>
        <w:t xml:space="preserve">2.5 Suspected Unauthorized Access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SEC-RULE-008</w:t>
            </w:r>
          </w:p>
        </w:tc>
        <w:tc>
          <w:tcPr/>
          <w:p>
            <w:pPr>
              <w:pStyle w:val="Compact"/>
            </w:pPr>
            <w:r>
              <w:t xml:space="preserve">If unauthorized account access is suspected, the agent must, on the same call: (1) freeze all account changes, (2) flag the account as</w:t>
            </w:r>
            <w:r>
              <w:t xml:space="preserve"> </w:t>
            </w:r>
            <w:r>
              <w:t xml:space="preserve">‘Security Review’</w:t>
            </w:r>
            <w:r>
              <w:t xml:space="preserve"> </w:t>
            </w:r>
            <w:r>
              <w:t xml:space="preserve">in CRM, (3) open a Data Compliance ticket, (4) advise the customer to change all associated passwords. Data Compliance follows up within 72 hours. The agent must not perform any further account changes on this call beyond the freeze.</w:t>
            </w:r>
          </w:p>
        </w:tc>
        <w:tc>
          <w:tcPr/>
          <w:p>
            <w:pPr>
              <w:pStyle w:val="Compact"/>
            </w:pPr>
            <w:r>
              <w:rPr>
                <w:b/>
                <w:bCs/>
              </w:rPr>
              <w:t xml:space="preserve">CRITICAL</w:t>
            </w:r>
          </w:p>
        </w:tc>
      </w:tr>
    </w:tbl>
    <w:p>
      <w:pPr>
        <w:pStyle w:val="BodyText"/>
      </w:pPr>
      <w:r>
        <w:rPr>
          <w:b/>
          <w:bCs/>
        </w:rPr>
        <w:t xml:space="preserve">2.6 Data Retention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Type</w:t>
            </w:r>
          </w:p>
        </w:tc>
        <w:tc>
          <w:tcPr/>
          <w:p>
            <w:pPr>
              <w:pStyle w:val="Compact"/>
            </w:pPr>
            <w:r>
              <w:t xml:space="preserve">Retention Period</w:t>
            </w:r>
          </w:p>
        </w:tc>
        <w:tc>
          <w:tcPr/>
          <w:p>
            <w:pPr>
              <w:pStyle w:val="Compact"/>
            </w:pPr>
            <w:r>
              <w:t xml:space="preserve">Action After Period</w:t>
            </w:r>
          </w:p>
        </w:tc>
      </w:tr>
      <w:tr>
        <w:tc>
          <w:tcPr/>
          <w:p>
            <w:pPr>
              <w:pStyle w:val="Compact"/>
            </w:pPr>
            <w:r>
              <w:t xml:space="preserve">Audio call recordings</w:t>
            </w:r>
          </w:p>
        </w:tc>
        <w:tc>
          <w:tcPr/>
          <w:p>
            <w:pPr>
              <w:pStyle w:val="Compact"/>
            </w:pPr>
            <w:r>
              <w:t xml:space="preserve">90 days</w:t>
            </w:r>
          </w:p>
        </w:tc>
        <w:tc>
          <w:tcPr/>
          <w:p>
            <w:pPr>
              <w:pStyle w:val="Compact"/>
            </w:pPr>
            <w:r>
              <w:t xml:space="preserve">Permanently deleted</w:t>
            </w:r>
          </w:p>
        </w:tc>
      </w:tr>
      <w:tr>
        <w:tc>
          <w:tcPr/>
          <w:p>
            <w:pPr>
              <w:pStyle w:val="Compact"/>
            </w:pPr>
            <w:r>
              <w:t xml:space="preserve">Call transcripts</w:t>
            </w:r>
          </w:p>
        </w:tc>
        <w:tc>
          <w:tcPr/>
          <w:p>
            <w:pPr>
              <w:pStyle w:val="Compact"/>
            </w:pPr>
            <w:r>
              <w:t xml:space="preserve">1 year</w:t>
            </w:r>
          </w:p>
        </w:tc>
        <w:tc>
          <w:tcPr/>
          <w:p>
            <w:pPr>
              <w:pStyle w:val="Compact"/>
            </w:pPr>
            <w:r>
              <w:t xml:space="preserve">Anonymized and archived</w:t>
            </w:r>
          </w:p>
        </w:tc>
      </w:tr>
      <w:tr>
        <w:tc>
          <w:tcPr/>
          <w:p>
            <w:pPr>
              <w:pStyle w:val="Compact"/>
            </w:pPr>
            <w:r>
              <w:t xml:space="preserve">Analytics / metadata</w:t>
            </w:r>
          </w:p>
        </w:tc>
        <w:tc>
          <w:tcPr/>
          <w:p>
            <w:pPr>
              <w:pStyle w:val="Compact"/>
            </w:pPr>
            <w:r>
              <w:t xml:space="preserve">2 years</w:t>
            </w:r>
          </w:p>
        </w:tc>
        <w:tc>
          <w:tcPr/>
          <w:p>
            <w:pPr>
              <w:pStyle w:val="Compact"/>
            </w:pPr>
            <w:r>
              <w:t xml:space="preserve">Aggregated and anonymized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rPr>
                <w:b/>
                <w:bCs/>
              </w:rPr>
              <w:t xml:space="preserve">SEC-RULE-009</w:t>
            </w:r>
          </w:p>
        </w:tc>
        <w:tc>
          <w:tcPr/>
          <w:p>
            <w:pPr>
              <w:pStyle w:val="Compact"/>
            </w:pPr>
            <w:r>
              <w:t xml:space="preserve">Customer data deletion requests must be flagged as</w:t>
            </w:r>
            <w:r>
              <w:t xml:space="preserve"> </w:t>
            </w:r>
            <w:r>
              <w:t xml:space="preserve">‘Data Deletion Request’</w:t>
            </w:r>
            <w:r>
              <w:t xml:space="preserve"> </w:t>
            </w:r>
            <w:r>
              <w:t xml:space="preserve">and routed to the Data Compliance Officer via ticket. All non-essential PII must be purged within 30 days of confirmed request.</w:t>
            </w:r>
          </w:p>
        </w:tc>
        <w:tc>
          <w:tcPr/>
          <w:p>
            <w:pPr>
              <w:pStyle w:val="Compact"/>
            </w:pPr>
            <w:r>
              <w:rPr>
                <w:b/>
                <w:bCs/>
              </w:rPr>
              <w:t xml:space="preserve">MAJOR</w:t>
            </w:r>
          </w:p>
        </w:tc>
      </w:tr>
    </w:tbl>
    <w:sectPr>
      <w:footnotePr>
        <w:numRestart w:val="eachSect"/>
      </w:footnotePr>
      <w:pgSz w:orient="landscape" w:w="16838" w:h="11906"/>
      <w:pgMar w:left="850" w:right="850" w:top="850" w:bottom="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2026-05-19T11:34:47Z</dcterms:created>
  <dcterms:modified xsi:type="dcterms:W3CDTF">2026-05-19T11:34:47Z</dcterms:modified>
</cp:coreProperties>
</file>

<file path=docProps/custom.xml><?xml version="1.0" encoding="utf-8"?>
<Properties xmlns="http://schemas.openxmlformats.org/officeDocument/2006/custom-properties" xmlns:vt="http://schemas.openxmlformats.org/officeDocument/2006/docPropsVTypes"/>
</file>