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NEXALINK TELECOMMUNICATIONS</w:t>
      </w:r>
    </w:p>
    <w:p>
      <w:pPr>
        <w:pStyle w:val="BodyText"/>
      </w:pPr>
      <w:r>
        <w:rPr>
          <w:b/>
          <w:bCs/>
        </w:rPr>
        <w:t xml:space="preserve">SOP: ACCOUNT ACCESS RECOVERY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Document ID</w:t>
            </w:r>
          </w:p>
        </w:tc>
        <w:tc>
          <w:tcPr/>
          <w:p>
            <w:pPr>
              <w:pStyle w:val="Compact"/>
            </w:pPr>
            <w:r>
              <w:t xml:space="preserve">SOP-04</w:t>
            </w:r>
          </w:p>
        </w:tc>
      </w:tr>
      <w:tr>
        <w:tc>
          <w:tcPr/>
          <w:p>
            <w:pPr>
              <w:pStyle w:val="Compact"/>
            </w:pPr>
            <w:r>
              <w:rPr>
                <w:b/>
                <w:bCs/>
              </w:rPr>
              <w:t xml:space="preserve">Version</w:t>
            </w:r>
          </w:p>
        </w:tc>
        <w:tc>
          <w:tcPr/>
          <w:p>
            <w:pPr>
              <w:pStyle w:val="Compact"/>
            </w:pPr>
            <w:r>
              <w:t xml:space="preserve">3.0</w:t>
            </w:r>
          </w:p>
        </w:tc>
      </w:tr>
      <w:tr>
        <w:tc>
          <w:tcPr/>
          <w:p>
            <w:pPr>
              <w:pStyle w:val="Compact"/>
            </w:pPr>
            <w:r>
              <w:rPr>
                <w:b/>
                <w:bCs/>
              </w:rPr>
              <w:t xml:space="preserve">Effective Date</w:t>
            </w:r>
          </w:p>
        </w:tc>
        <w:tc>
          <w:tcPr/>
          <w:p>
            <w:pPr>
              <w:pStyle w:val="Compact"/>
            </w:pPr>
            <w:r>
              <w:t xml:space="preserve">18/5/2026</w:t>
            </w:r>
          </w:p>
        </w:tc>
      </w:tr>
      <w:tr>
        <w:tc>
          <w:tcPr/>
          <w:p>
            <w:pPr>
              <w:pStyle w:val="Compact"/>
            </w:pPr>
            <w:r>
              <w:rPr>
                <w:b/>
                <w:bCs/>
              </w:rPr>
              <w:t xml:space="preserve">Department</w:t>
            </w:r>
          </w:p>
        </w:tc>
        <w:tc>
          <w:tcPr/>
          <w:p>
            <w:pPr>
              <w:pStyle w:val="Compact"/>
            </w:pPr>
            <w:r>
              <w:t xml:space="preserve">Call Center Operations</w:t>
            </w:r>
          </w:p>
        </w:tc>
      </w:tr>
    </w:tbl>
    <w:p>
      <w:pPr>
        <w:pStyle w:val="BodyText"/>
      </w:pPr>
      <w:r>
        <w:t xml:space="preserve">Applies to: All agents. Highest fraud-risk SOP — no shortcuts permitted. No credential resets without full verification. Security-sensitive cases are handled by the agent under the on-screen Security Workflow plus a Data Compliance ticket opened on the call — never by transfer.</w:t>
      </w:r>
    </w:p>
    <w:p>
      <w:pPr>
        <w:pStyle w:val="BodyText"/>
      </w:pPr>
      <w:r>
        <w:rPr>
          <w:b/>
          <w:bCs/>
        </w:rPr>
        <w:t xml:space="preserve">Steps</w:t>
      </w:r>
    </w:p>
    <w:p>
      <w:pPr>
        <w:pStyle w:val="BodyText"/>
      </w:pPr>
      <w:r>
        <w:rPr>
          <w:b/>
          <w:bCs/>
        </w:rPr>
        <w:t xml:space="preserve">Step 1: Open Call &amp; Attempt Standard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Precondition</w:t>
            </w:r>
          </w:p>
        </w:tc>
        <w:tc>
          <w:tcPr/>
          <w:p>
            <w:pPr>
              <w:pStyle w:val="Compact"/>
            </w:pPr>
            <w:r>
              <w:t xml:space="preserve">Call connected.</w:t>
            </w:r>
          </w:p>
        </w:tc>
      </w:tr>
      <w:tr>
        <w:tc>
          <w:tcPr/>
          <w:p>
            <w:pPr>
              <w:pStyle w:val="Compact"/>
            </w:pPr>
            <w:r>
              <w:rPr>
                <w:b/>
                <w:bCs/>
              </w:rPr>
              <w:t xml:space="preserve">Action</w:t>
            </w:r>
          </w:p>
        </w:tc>
        <w:tc>
          <w:tcPr/>
          <w:p>
            <w:pPr>
              <w:pStyle w:val="Compact"/>
            </w:pPr>
            <w:r>
              <w:t xml:space="preserve">Deliver greeting and recording notification. Attempt 3-of-5 identity verification: (1) Full account holder name, (2) Account number, (3) Security PIN, (4) Last 4 of payment method, (5) Last 4 of SSN/National ID where applicable. If the caller cannot provide 3 of 5, proceed immediately to Step 2.</w:t>
            </w:r>
          </w:p>
        </w:tc>
      </w:tr>
      <w:tr>
        <w:tc>
          <w:tcPr/>
          <w:p>
            <w:pPr>
              <w:pStyle w:val="Compact"/>
            </w:pPr>
            <w:r>
              <w:rPr>
                <w:b/>
                <w:bCs/>
              </w:rPr>
              <w:t xml:space="preserve">Output</w:t>
            </w:r>
          </w:p>
        </w:tc>
        <w:tc>
          <w:tcPr/>
          <w:p>
            <w:pPr>
              <w:pStyle w:val="Compact"/>
            </w:pPr>
            <w:r>
              <w:t xml:space="preserve">Verification passed → proceed to Step 3. Verification failed → proceed to Step 2.</w:t>
            </w:r>
          </w:p>
        </w:tc>
      </w:tr>
      <w:tr>
        <w:tc>
          <w:tcPr/>
          <w:p>
            <w:pPr>
              <w:pStyle w:val="Compact"/>
            </w:pPr>
            <w:r>
              <w:rPr>
                <w:b/>
                <w:bCs/>
              </w:rPr>
              <w:t xml:space="preserve">Policy Ref</w:t>
            </w:r>
          </w:p>
        </w:tc>
        <w:tc>
          <w:tcPr/>
          <w:p>
            <w:pPr>
              <w:pStyle w:val="Compact"/>
            </w:pPr>
            <w:r>
              <w:t xml:space="preserve">CS-RULE-004, CS-RULE-005, SEC-RULE-006</w:t>
            </w:r>
          </w:p>
        </w:tc>
      </w:tr>
    </w:tbl>
    <w:p>
      <w:pPr>
        <w:pStyle w:val="BodyText"/>
      </w:pPr>
      <w:r>
        <w:rPr>
          <w:b/>
          <w:bCs/>
        </w:rPr>
        <w:t xml:space="preserve">Step 2: Handle Partial Verification Failure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Precondition</w:t>
            </w:r>
          </w:p>
        </w:tc>
        <w:tc>
          <w:tcPr/>
          <w:p>
            <w:pPr>
              <w:pStyle w:val="Compact"/>
            </w:pPr>
            <w:r>
              <w:t xml:space="preserve">Customer cannot complete 3-of-5 verification.</w:t>
            </w:r>
          </w:p>
        </w:tc>
      </w:tr>
      <w:tr>
        <w:tc>
          <w:tcPr/>
          <w:p>
            <w:pPr>
              <w:pStyle w:val="Compact"/>
            </w:pPr>
            <w:r>
              <w:rPr>
                <w:b/>
                <w:bCs/>
              </w:rPr>
              <w:t xml:space="preserve">Action</w:t>
            </w:r>
          </w:p>
        </w:tc>
        <w:tc>
          <w:tcPr/>
          <w:p>
            <w:pPr>
              <w:pStyle w:val="Compact"/>
            </w:pPr>
            <w:r>
              <w:t xml:space="preserve">Attempt alternatives in order: (1) Send one-time code to email address on file. (2) Ask for account number from a recent paper bill or email invoice. (3) Ask for a recent payment amount as a soft identifier. If still unable to verify: inform customer they must visit a NexaLink store in person with a government-issued photo ID. Do not reset credentials over the phone without successful verification.</w:t>
            </w:r>
          </w:p>
        </w:tc>
      </w:tr>
      <w:tr>
        <w:tc>
          <w:tcPr/>
          <w:p>
            <w:pPr>
              <w:pStyle w:val="Compact"/>
            </w:pPr>
            <w:r>
              <w:rPr>
                <w:b/>
                <w:bCs/>
              </w:rPr>
              <w:t xml:space="preserve">Output</w:t>
            </w:r>
          </w:p>
        </w:tc>
        <w:tc>
          <w:tcPr/>
          <w:p>
            <w:pPr>
              <w:pStyle w:val="Compact"/>
            </w:pPr>
            <w:r>
              <w:t xml:space="preserve">Customer verified via alternative, or directed to in-store visit.</w:t>
            </w:r>
          </w:p>
        </w:tc>
      </w:tr>
      <w:tr>
        <w:tc>
          <w:tcPr/>
          <w:p>
            <w:pPr>
              <w:pStyle w:val="Compact"/>
            </w:pPr>
            <w:r>
              <w:rPr>
                <w:b/>
                <w:bCs/>
              </w:rPr>
              <w:t xml:space="preserve">Policy Ref</w:t>
            </w:r>
          </w:p>
        </w:tc>
        <w:tc>
          <w:tcPr/>
          <w:p>
            <w:pPr>
              <w:pStyle w:val="Compact"/>
            </w:pPr>
            <w:r>
              <w:t xml:space="preserve">SEC-RULE-007</w:t>
            </w:r>
          </w:p>
        </w:tc>
      </w:tr>
    </w:tbl>
    <w:p>
      <w:pPr>
        <w:pStyle w:val="BodyText"/>
      </w:pPr>
      <w:r>
        <w:rPr>
          <w:b/>
          <w:bCs/>
        </w:rPr>
        <w:t xml:space="preserve">Step 3: Confirm Nature of Access Issue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Precondition</w:t>
            </w:r>
          </w:p>
        </w:tc>
        <w:tc>
          <w:tcPr/>
          <w:p>
            <w:pPr>
              <w:pStyle w:val="Compact"/>
            </w:pPr>
            <w:r>
              <w:t xml:space="preserve">Verification complete.</w:t>
            </w:r>
          </w:p>
        </w:tc>
      </w:tr>
      <w:tr>
        <w:tc>
          <w:tcPr/>
          <w:p>
            <w:pPr>
              <w:pStyle w:val="Compact"/>
            </w:pPr>
            <w:r>
              <w:rPr>
                <w:b/>
                <w:bCs/>
              </w:rPr>
              <w:t xml:space="preserve">Action</w:t>
            </w:r>
          </w:p>
        </w:tc>
        <w:tc>
          <w:tcPr/>
          <w:p>
            <w:pPr>
              <w:pStyle w:val="Compact"/>
            </w:pPr>
            <w:r>
              <w:t xml:space="preserve">Identify what the customer needs. Forgotten online password: direct to self-service portal — no agent action required. Forgotten PIN or security question: agent updates in CRM after verification. Locked account: agent unlocks in CRM. Suspected unauthorized access: proceed to Step 6 immediately.</w:t>
            </w:r>
          </w:p>
        </w:tc>
      </w:tr>
      <w:tr>
        <w:tc>
          <w:tcPr/>
          <w:p>
            <w:pPr>
              <w:pStyle w:val="Compact"/>
            </w:pPr>
            <w:r>
              <w:rPr>
                <w:b/>
                <w:bCs/>
              </w:rPr>
              <w:t xml:space="preserve">Output</w:t>
            </w:r>
          </w:p>
        </w:tc>
        <w:tc>
          <w:tcPr/>
          <w:p>
            <w:pPr>
              <w:pStyle w:val="Compact"/>
            </w:pPr>
            <w:r>
              <w:t xml:space="preserve">Access issue classified and action path selected.</w:t>
            </w:r>
          </w:p>
        </w:tc>
      </w:tr>
      <w:tr>
        <w:tc>
          <w:tcPr/>
          <w:p>
            <w:pPr>
              <w:pStyle w:val="Compact"/>
            </w:pPr>
            <w:r>
              <w:rPr>
                <w:b/>
                <w:bCs/>
              </w:rPr>
              <w:t xml:space="preserve">Policy Ref</w:t>
            </w:r>
          </w:p>
        </w:tc>
        <w:tc>
          <w:tcPr/>
          <w:p>
            <w:pPr>
              <w:pStyle w:val="Compact"/>
            </w:pPr>
            <w:r>
              <w:t xml:space="preserve">SEC-RULE-006</w:t>
            </w:r>
          </w:p>
        </w:tc>
      </w:tr>
    </w:tbl>
    <w:p>
      <w:pPr>
        <w:pStyle w:val="BodyText"/>
      </w:pPr>
      <w:r>
        <w:rPr>
          <w:b/>
          <w:bCs/>
        </w:rPr>
        <w:t xml:space="preserve">Step 4: Process Credential Update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Precondition</w:t>
            </w:r>
          </w:p>
        </w:tc>
        <w:tc>
          <w:tcPr/>
          <w:p>
            <w:pPr>
              <w:pStyle w:val="Compact"/>
            </w:pPr>
            <w:r>
              <w:t xml:space="preserve">Issue is PIN or security question reset.</w:t>
            </w:r>
          </w:p>
        </w:tc>
      </w:tr>
      <w:tr>
        <w:tc>
          <w:tcPr/>
          <w:p>
            <w:pPr>
              <w:pStyle w:val="Compact"/>
            </w:pPr>
            <w:r>
              <w:rPr>
                <w:b/>
                <w:bCs/>
              </w:rPr>
              <w:t xml:space="preserve">Action</w:t>
            </w:r>
          </w:p>
        </w:tc>
        <w:tc>
          <w:tcPr/>
          <w:p>
            <w:pPr>
              <w:pStyle w:val="Compact"/>
            </w:pPr>
            <w:r>
              <w:t xml:space="preserve">Confirm new PIN meets complexity requirements. Update in CRM. Confirm to customer:</w:t>
            </w:r>
            <w:r>
              <w:t xml:space="preserve"> </w:t>
            </w:r>
            <w:r>
              <w:t xml:space="preserve">‘Your account PIN has been updated successfully. Please make a note of it in a secure place.’</w:t>
            </w:r>
            <w:r>
              <w:t xml:space="preserve"> </w:t>
            </w:r>
            <w:r>
              <w:t xml:space="preserve">Do not read the new credential back to the customer. Do not record the PIN value in case notes — document only that a reset was performed.</w:t>
            </w:r>
          </w:p>
        </w:tc>
      </w:tr>
      <w:tr>
        <w:tc>
          <w:tcPr/>
          <w:p>
            <w:pPr>
              <w:pStyle w:val="Compact"/>
            </w:pPr>
            <w:r>
              <w:rPr>
                <w:b/>
                <w:bCs/>
              </w:rPr>
              <w:t xml:space="preserve">Output</w:t>
            </w:r>
          </w:p>
        </w:tc>
        <w:tc>
          <w:tcPr/>
          <w:p>
            <w:pPr>
              <w:pStyle w:val="Compact"/>
            </w:pPr>
            <w:r>
              <w:t xml:space="preserve">Credential updated. Customer confirmed.</w:t>
            </w:r>
          </w:p>
        </w:tc>
      </w:tr>
      <w:tr>
        <w:tc>
          <w:tcPr/>
          <w:p>
            <w:pPr>
              <w:pStyle w:val="Compact"/>
            </w:pPr>
            <w:r>
              <w:rPr>
                <w:b/>
                <w:bCs/>
              </w:rPr>
              <w:t xml:space="preserve">Policy Ref</w:t>
            </w:r>
          </w:p>
        </w:tc>
        <w:tc>
          <w:tcPr/>
          <w:p>
            <w:pPr>
              <w:pStyle w:val="Compact"/>
            </w:pPr>
            <w:r>
              <w:t xml:space="preserve">SEC-RULE-005, SEC-RULE-007</w:t>
            </w:r>
          </w:p>
        </w:tc>
      </w:tr>
    </w:tbl>
    <w:p>
      <w:pPr>
        <w:pStyle w:val="BodyText"/>
      </w:pPr>
      <w:r>
        <w:rPr>
          <w:b/>
          <w:bCs/>
        </w:rPr>
        <w:t xml:space="preserve">Step 5: Check for Authorized Users (Third-Party Callers)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Precondition</w:t>
            </w:r>
          </w:p>
        </w:tc>
        <w:tc>
          <w:tcPr/>
          <w:p>
            <w:pPr>
              <w:pStyle w:val="Compact"/>
            </w:pPr>
            <w:r>
              <w:t xml:space="preserve">Caller is requesting access changes on behalf of account holder.</w:t>
            </w:r>
          </w:p>
        </w:tc>
      </w:tr>
      <w:tr>
        <w:tc>
          <w:tcPr/>
          <w:p>
            <w:pPr>
              <w:pStyle w:val="Compact"/>
            </w:pPr>
            <w:r>
              <w:rPr>
                <w:b/>
                <w:bCs/>
              </w:rPr>
              <w:t xml:space="preserve">Action</w:t>
            </w:r>
          </w:p>
        </w:tc>
        <w:tc>
          <w:tcPr/>
          <w:p>
            <w:pPr>
              <w:pStyle w:val="Compact"/>
            </w:pPr>
            <w:r>
              <w:t xml:space="preserve">Verify the caller is listed as an Authorized User in the CRM. If not listed: no changes can be made. Account holder must call directly or visit a store. If account holder is deceased or incapacitated: open an Ownership Transfer ticket with Data Compliance from the agent’s seat. Inform the caller that the team will follow up within 72 hours. Do not attempt the ownership transfer on this call.</w:t>
            </w:r>
          </w:p>
        </w:tc>
      </w:tr>
      <w:tr>
        <w:tc>
          <w:tcPr/>
          <w:p>
            <w:pPr>
              <w:pStyle w:val="Compact"/>
            </w:pPr>
            <w:r>
              <w:rPr>
                <w:b/>
                <w:bCs/>
              </w:rPr>
              <w:t xml:space="preserve">Output</w:t>
            </w:r>
          </w:p>
        </w:tc>
        <w:tc>
          <w:tcPr/>
          <w:p>
            <w:pPr>
              <w:pStyle w:val="Compact"/>
            </w:pPr>
            <w:r>
              <w:t xml:space="preserve">Third-party access confirmed, denied, or Ownership Transfer ticket opened.</w:t>
            </w:r>
          </w:p>
        </w:tc>
      </w:tr>
      <w:tr>
        <w:tc>
          <w:tcPr/>
          <w:p>
            <w:pPr>
              <w:pStyle w:val="Compact"/>
            </w:pPr>
            <w:r>
              <w:rPr>
                <w:b/>
                <w:bCs/>
              </w:rPr>
              <w:t xml:space="preserve">Policy Ref</w:t>
            </w:r>
          </w:p>
        </w:tc>
        <w:tc>
          <w:tcPr/>
          <w:p>
            <w:pPr>
              <w:pStyle w:val="Compact"/>
            </w:pPr>
            <w:r>
              <w:t xml:space="preserve">CS-RULE-006</w:t>
            </w:r>
          </w:p>
        </w:tc>
      </w:tr>
    </w:tbl>
    <w:p>
      <w:pPr>
        <w:pStyle w:val="BodyText"/>
      </w:pPr>
      <w:r>
        <w:rPr>
          <w:b/>
          <w:bCs/>
        </w:rPr>
        <w:t xml:space="preserve">Step 6: Suspected Unauthorized Access Protocol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Precondition</w:t>
            </w:r>
          </w:p>
        </w:tc>
        <w:tc>
          <w:tcPr/>
          <w:p>
            <w:pPr>
              <w:pStyle w:val="Compact"/>
            </w:pPr>
            <w:r>
              <w:t xml:space="preserve">Customer reports or agent suspects unauthorized access.</w:t>
            </w:r>
          </w:p>
        </w:tc>
      </w:tr>
      <w:tr>
        <w:tc>
          <w:tcPr/>
          <w:p>
            <w:pPr>
              <w:pStyle w:val="Compact"/>
            </w:pPr>
            <w:r>
              <w:rPr>
                <w:b/>
                <w:bCs/>
              </w:rPr>
              <w:t xml:space="preserve">Action</w:t>
            </w:r>
          </w:p>
        </w:tc>
        <w:tc>
          <w:tcPr/>
          <w:p>
            <w:pPr>
              <w:pStyle w:val="Compact"/>
            </w:pPr>
            <w:r>
              <w:t xml:space="preserve">Do not make any account changes beyond the freeze. Steps in order: (1) freeze all account changes, (2) flag account as</w:t>
            </w:r>
            <w:r>
              <w:t xml:space="preserve"> </w:t>
            </w:r>
            <w:r>
              <w:t xml:space="preserve">‘Security Review’</w:t>
            </w:r>
            <w:r>
              <w:t xml:space="preserve"> </w:t>
            </w:r>
            <w:r>
              <w:t xml:space="preserve">in CRM, (3) open a Data Compliance ticket on this call, (4) advise customer to change all associated passwords (email, banking). Inform customer that the Data Compliance team follows up within 72 hours.</w:t>
            </w:r>
          </w:p>
        </w:tc>
      </w:tr>
      <w:tr>
        <w:tc>
          <w:tcPr/>
          <w:p>
            <w:pPr>
              <w:pStyle w:val="Compact"/>
            </w:pPr>
            <w:r>
              <w:rPr>
                <w:b/>
                <w:bCs/>
              </w:rPr>
              <w:t xml:space="preserve">Output</w:t>
            </w:r>
          </w:p>
        </w:tc>
        <w:tc>
          <w:tcPr/>
          <w:p>
            <w:pPr>
              <w:pStyle w:val="Compact"/>
            </w:pPr>
            <w:r>
              <w:t xml:space="preserve">Account flagged. Data Compliance ticket open. Customer advised.</w:t>
            </w:r>
          </w:p>
        </w:tc>
      </w:tr>
      <w:tr>
        <w:tc>
          <w:tcPr/>
          <w:p>
            <w:pPr>
              <w:pStyle w:val="Compact"/>
            </w:pPr>
            <w:r>
              <w:rPr>
                <w:b/>
                <w:bCs/>
              </w:rPr>
              <w:t xml:space="preserve">Policy Ref</w:t>
            </w:r>
          </w:p>
        </w:tc>
        <w:tc>
          <w:tcPr/>
          <w:p>
            <w:pPr>
              <w:pStyle w:val="Compact"/>
            </w:pPr>
            <w:r>
              <w:t xml:space="preserve">SEC-RULE-008</w:t>
            </w:r>
          </w:p>
        </w:tc>
      </w:tr>
    </w:tbl>
    <w:p>
      <w:pPr>
        <w:pStyle w:val="BodyText"/>
      </w:pPr>
      <w:r>
        <w:rPr>
          <w:b/>
          <w:bCs/>
        </w:rPr>
        <w:t xml:space="preserve">Step 7: Document &amp; Close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Precondition</w:t>
            </w:r>
          </w:p>
        </w:tc>
        <w:tc>
          <w:tcPr/>
          <w:p>
            <w:pPr>
              <w:pStyle w:val="Compact"/>
            </w:pPr>
            <w:r>
              <w:t xml:space="preserve">Resolution complete.</w:t>
            </w:r>
          </w:p>
        </w:tc>
      </w:tr>
      <w:tr>
        <w:tc>
          <w:tcPr/>
          <w:p>
            <w:pPr>
              <w:pStyle w:val="Compact"/>
            </w:pPr>
            <w:r>
              <w:rPr>
                <w:b/>
                <w:bCs/>
              </w:rPr>
              <w:t xml:space="preserve">Action</w:t>
            </w:r>
          </w:p>
        </w:tc>
        <w:tc>
          <w:tcPr/>
          <w:p>
            <w:pPr>
              <w:pStyle w:val="Compact"/>
            </w:pPr>
            <w:r>
              <w:t xml:space="preserve">Log case notes within 5 minutes: verification method used, type of access issue, action taken, any security flags raised, ticket IDs. Do not include any credential values in notes. Provide case reference number and offer post-call survey.</w:t>
            </w:r>
          </w:p>
        </w:tc>
      </w:tr>
      <w:tr>
        <w:tc>
          <w:tcPr/>
          <w:p>
            <w:pPr>
              <w:pStyle w:val="Compact"/>
            </w:pPr>
            <w:r>
              <w:rPr>
                <w:b/>
                <w:bCs/>
              </w:rPr>
              <w:t xml:space="preserve">Output</w:t>
            </w:r>
          </w:p>
        </w:tc>
        <w:tc>
          <w:tcPr/>
          <w:p>
            <w:pPr>
              <w:pStyle w:val="Compact"/>
            </w:pPr>
            <w:r>
              <w:t xml:space="preserve">Case notes saved. Call closed.</w:t>
            </w:r>
          </w:p>
        </w:tc>
      </w:tr>
      <w:tr>
        <w:tc>
          <w:tcPr/>
          <w:p>
            <w:pPr>
              <w:pStyle w:val="Compact"/>
            </w:pPr>
            <w:r>
              <w:rPr>
                <w:b/>
                <w:bCs/>
              </w:rPr>
              <w:t xml:space="preserve">Policy Ref</w:t>
            </w:r>
          </w:p>
        </w:tc>
        <w:tc>
          <w:tcPr/>
          <w:p>
            <w:pPr>
              <w:pStyle w:val="Compact"/>
            </w:pPr>
            <w:r>
              <w:t xml:space="preserve">CS-RULE-020, CS-RULE-021, CS-RULE-022, SEC-RULE-005</w:t>
            </w:r>
          </w:p>
        </w:tc>
      </w:tr>
    </w:tbl>
    <w:p>
      <w:pPr>
        <w:pStyle w:val="BodyText"/>
      </w:pPr>
      <w:r>
        <w:rPr>
          <w:b/>
          <w:bCs/>
        </w:rPr>
        <w:t xml:space="preserve">Key Rules</w:t>
      </w:r>
    </w:p>
    <w:p>
      <w:pPr>
        <w:pStyle w:val="Compact"/>
        <w:numPr>
          <w:ilvl w:val="0"/>
          <w:numId w:val="1001"/>
        </w:numPr>
      </w:pPr>
      <w:r>
        <w:t xml:space="preserve">Never confirm whether an account exists to an unverified caller. (SEC-RULE-006)</w:t>
      </w:r>
    </w:p>
    <w:p>
      <w:pPr>
        <w:pStyle w:val="Compact"/>
        <w:numPr>
          <w:ilvl w:val="0"/>
          <w:numId w:val="1001"/>
        </w:numPr>
      </w:pPr>
      <w:r>
        <w:t xml:space="preserve">Never reset credentials over the phone without successful verification. In-store visit is the only alternative. (SEC-RULE-007)</w:t>
      </w:r>
    </w:p>
    <w:p>
      <w:pPr>
        <w:pStyle w:val="Compact"/>
        <w:numPr>
          <w:ilvl w:val="0"/>
          <w:numId w:val="1001"/>
        </w:numPr>
      </w:pPr>
      <w:r>
        <w:t xml:space="preserve">If a third-party caller becomes aggressive when denied access, apply the 3-Strike Protocol (CS-RULE-016). Do not de-escalate by relaxing verification requirements. (CS-RULE-006)</w:t>
      </w:r>
    </w:p>
    <w:sectPr>
      <w:footnotePr>
        <w:numRestart w:val="eachSect"/>
      </w:footnotePr>
      <w:pgSz w:orient="landscape" w:w="16838" w:h="11906"/>
      <w:pgMar w:left="850" w:right="850" w:top="850" w:bottom="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2026-05-19T11:34:54Z</dcterms:created>
  <dcterms:modified xsi:type="dcterms:W3CDTF">2026-05-19T11:34:54Z</dcterms:modified>
</cp:coreProperties>
</file>

<file path=docProps/custom.xml><?xml version="1.0" encoding="utf-8"?>
<Properties xmlns="http://schemas.openxmlformats.org/officeDocument/2006/custom-properties" xmlns:vt="http://schemas.openxmlformats.org/officeDocument/2006/docPropsVTypes"/>
</file>