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</w:pPr>
      <w:r>
        <w:rPr>
          <w:rFonts w:ascii="Arial" w:cs="Arial" w:eastAsia="Arial" w:hAnsi="Arial"/>
          <w:b/>
          <w:bCs/>
          <w:color w:val="595959"/>
          <w:sz w:val="18"/>
          <w:szCs w:val="18"/>
        </w:rPr>
        <w:t xml:space="preserve">NEXALINK TELECOMMUNICATIONS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3A5C"/>
          <w:sz w:val="36"/>
          <w:szCs w:val="36"/>
        </w:rPr>
        <w:t xml:space="preserve">SOP: REFUND REQUEST PROCESSING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Document ID</w:t>
            </w:r>
          </w:p>
        </w:tc>
        <w:tc>
          <w:tcPr>
            <w:tcW w:type="dxa" w:w="65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SOP-01</w:t>
            </w:r>
          </w:p>
        </w:tc>
      </w:tr>
      <w:tr>
        <w:tc>
          <w:tcPr>
            <w:tcW w:type="dxa" w:w="2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Version</w:t>
            </w:r>
          </w:p>
        </w:tc>
        <w:tc>
          <w:tcPr>
            <w:tcW w:type="dxa" w:w="65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2.0</w:t>
            </w:r>
          </w:p>
        </w:tc>
      </w:tr>
      <w:tr>
        <w:tc>
          <w:tcPr>
            <w:tcW w:type="dxa" w:w="2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Effective Date</w:t>
            </w:r>
          </w:p>
        </w:tc>
        <w:tc>
          <w:tcPr>
            <w:tcW w:type="dxa" w:w="65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10/2/2026</w:t>
            </w:r>
          </w:p>
        </w:tc>
      </w:tr>
      <w:tr>
        <w:tc>
          <w:tcPr>
            <w:tcW w:type="dxa" w:w="2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Department</w:t>
            </w:r>
          </w:p>
        </w:tc>
        <w:tc>
          <w:tcPr>
            <w:tcW w:type="dxa" w:w="65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Call Center Operations</w:t>
            </w:r>
          </w:p>
        </w:tc>
      </w:tr>
    </w:tbl>
    <w:p>
      <w:pPr>
        <w:spacing w:after="20" w:before="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Bdr>
          <w:bottom w:val="single" w:color="D0DCE8" w:sz="2"/>
        </w:pBdr>
        <w:spacing w:after="120" w:before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after="40" w:before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Applies to: All Tier 1 agents. Fraud cases route directly to Tier 2 — do not process at Tier 1.</w:t>
      </w:r>
    </w:p>
    <w:p>
      <w:pPr>
        <w:pBdr>
          <w:bottom w:val="single" w:color="D0DCE8" w:sz="2"/>
        </w:pBdr>
        <w:spacing w:after="120" w:before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Steps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Step 1: Open Call &amp; Verify Identity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Precondition</w:t>
            </w:r>
          </w:p>
        </w:tc>
        <w:tc>
          <w:tcPr>
            <w:tcW w:type="dxa" w:w="75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Call connected. Recording notification not yet given.</w:t>
            </w:r>
          </w:p>
        </w:tc>
      </w:tr>
      <w:tr>
        <w:tc>
          <w:tcPr>
            <w:tcW w:type="dxa" w:w="1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Action</w:t>
            </w:r>
          </w:p>
        </w:tc>
        <w:tc>
          <w:tcPr>
            <w:tcW w:type="dxa" w:w="75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Deliver greeting script. State recording notification if not played by IVR. Verify customer using 3 of 5 identifiers. No refund discussion may begin until verification is complete.</w:t>
            </w:r>
          </w:p>
        </w:tc>
      </w:tr>
      <w:tr>
        <w:tc>
          <w:tcPr>
            <w:tcW w:type="dxa" w:w="1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Output</w:t>
            </w:r>
          </w:p>
        </w:tc>
        <w:tc>
          <w:tcPr>
            <w:tcW w:type="dxa" w:w="75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Customer verified. OK to proceed.</w:t>
            </w:r>
          </w:p>
        </w:tc>
      </w:tr>
      <w:tr>
        <w:tc>
          <w:tcPr>
            <w:tcW w:type="dxa" w:w="1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Policy Ref</w:t>
            </w:r>
          </w:p>
        </w:tc>
        <w:tc>
          <w:tcPr>
            <w:tcW w:type="dxa" w:w="75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A5C"/>
                <w:sz w:val="18"/>
                <w:szCs w:val="18"/>
              </w:rPr>
              <w:t xml:space="preserve">CS-RULE-001, CS-RULE-002, CS-RULE-004, CS-RULE-005</w:t>
            </w:r>
          </w:p>
        </w:tc>
      </w:tr>
    </w:tbl>
    <w:p>
      <w:pPr>
        <w:spacing w:after="20" w:before="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Step 2: Identify the Refund Reason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Precondition</w:t>
            </w:r>
          </w:p>
        </w:tc>
        <w:tc>
          <w:tcPr>
            <w:tcW w:type="dxa" w:w="75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Verification complete.</w:t>
            </w:r>
          </w:p>
        </w:tc>
      </w:tr>
      <w:tr>
        <w:tc>
          <w:tcPr>
            <w:tcW w:type="dxa" w:w="1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Action</w:t>
            </w:r>
          </w:p>
        </w:tc>
        <w:tc>
          <w:tcPr>
            <w:tcW w:type="dxa" w:w="75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Ask customer to describe the issue. Map the complaint to one of five eligible categories: Service Outage &gt; 24h, Billing Error, Speed &lt; 50% of plan, Cooling-Off Period (within 14 days), Unauthorized Charge. If no category matches, proceed to Step 3 before declining.</w:t>
            </w:r>
          </w:p>
        </w:tc>
      </w:tr>
      <w:tr>
        <w:tc>
          <w:tcPr>
            <w:tcW w:type="dxa" w:w="1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Output</w:t>
            </w:r>
          </w:p>
        </w:tc>
        <w:tc>
          <w:tcPr>
            <w:tcW w:type="dxa" w:w="75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Refund category identified or flagged as unclear.</w:t>
            </w:r>
          </w:p>
        </w:tc>
      </w:tr>
      <w:tr>
        <w:tc>
          <w:tcPr>
            <w:tcW w:type="dxa" w:w="1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Policy Ref</w:t>
            </w:r>
          </w:p>
        </w:tc>
        <w:tc>
          <w:tcPr>
            <w:tcW w:type="dxa" w:w="75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A5C"/>
                <w:sz w:val="18"/>
                <w:szCs w:val="18"/>
              </w:rPr>
              <w:t xml:space="preserve">FIN-RULE-001</w:t>
            </w:r>
          </w:p>
        </w:tc>
      </w:tr>
    </w:tbl>
    <w:p>
      <w:pPr>
        <w:spacing w:after="20" w:before="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Step 3: Validate the Claim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Precondition</w:t>
            </w:r>
          </w:p>
        </w:tc>
        <w:tc>
          <w:tcPr>
            <w:tcW w:type="dxa" w:w="75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Refund category identified.</w:t>
            </w:r>
          </w:p>
        </w:tc>
      </w:tr>
      <w:tr>
        <w:tc>
          <w:tcPr>
            <w:tcW w:type="dxa" w:w="1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Action</w:t>
            </w:r>
          </w:p>
        </w:tc>
        <w:tc>
          <w:tcPr>
            <w:tcW w:type="dxa" w:w="75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Pull system evidence. Outage: check Network Operations logs or incident ticket. Billing Error: compare current vs. previous bill line-by-line. Speed Issue: review hardwired speed test history only (WiFi tests invalid). Cooling-Off: confirm contract start date is within 14 days. Fraud: flag account and transfer to Tier 2 immediately — do not attempt resolution.</w:t>
            </w:r>
          </w:p>
        </w:tc>
      </w:tr>
      <w:tr>
        <w:tc>
          <w:tcPr>
            <w:tcW w:type="dxa" w:w="1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Output</w:t>
            </w:r>
          </w:p>
        </w:tc>
        <w:tc>
          <w:tcPr>
            <w:tcW w:type="dxa" w:w="75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Claim confirmed with system evidence, or fraud routed to Tier 2.</w:t>
            </w:r>
          </w:p>
        </w:tc>
      </w:tr>
      <w:tr>
        <w:tc>
          <w:tcPr>
            <w:tcW w:type="dxa" w:w="1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Policy Ref</w:t>
            </w:r>
          </w:p>
        </w:tc>
        <w:tc>
          <w:tcPr>
            <w:tcW w:type="dxa" w:w="75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A5C"/>
                <w:sz w:val="18"/>
                <w:szCs w:val="18"/>
              </w:rPr>
              <w:t xml:space="preserve">FIN-RULE-002, FIN-RULE-003, FIN-RULE-008</w:t>
            </w:r>
          </w:p>
        </w:tc>
      </w:tr>
    </w:tbl>
    <w:p>
      <w:pPr>
        <w:spacing w:after="20" w:before="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Step 4: Calculate Compensation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Precondition</w:t>
            </w:r>
          </w:p>
        </w:tc>
        <w:tc>
          <w:tcPr>
            <w:tcW w:type="dxa" w:w="75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Claim validated.</w:t>
            </w:r>
          </w:p>
        </w:tc>
      </w:tr>
      <w:tr>
        <w:tc>
          <w:tcPr>
            <w:tcW w:type="dxa" w:w="1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Action</w:t>
            </w:r>
          </w:p>
        </w:tc>
        <w:tc>
          <w:tcPr>
            <w:tcW w:type="dxa" w:w="75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Apply compensation matrix (FIN-POL-03 Section 2.2). Outage &lt; 24h: apology only. 24–72h: (days ÷ 30) × monthly charge. &gt; 72h: full month credit + $10 goodwill. Billing error: 100% reversal. Missed appt (1st): $25. Missed appt (repeat): $50.</w:t>
            </w:r>
          </w:p>
        </w:tc>
      </w:tr>
      <w:tr>
        <w:tc>
          <w:tcPr>
            <w:tcW w:type="dxa" w:w="1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Output</w:t>
            </w:r>
          </w:p>
        </w:tc>
        <w:tc>
          <w:tcPr>
            <w:tcW w:type="dxa" w:w="75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Dollar amount calculated.</w:t>
            </w:r>
          </w:p>
        </w:tc>
      </w:tr>
      <w:tr>
        <w:tc>
          <w:tcPr>
            <w:tcW w:type="dxa" w:w="1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Policy Ref</w:t>
            </w:r>
          </w:p>
        </w:tc>
        <w:tc>
          <w:tcPr>
            <w:tcW w:type="dxa" w:w="75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A5C"/>
                <w:sz w:val="18"/>
                <w:szCs w:val="18"/>
              </w:rPr>
              <w:t xml:space="preserve">FIN-RULE-001</w:t>
            </w:r>
          </w:p>
        </w:tc>
      </w:tr>
    </w:tbl>
    <w:p>
      <w:pPr>
        <w:spacing w:after="20" w:before="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Step 5: Check Authorization Level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Precondition</w:t>
            </w:r>
          </w:p>
        </w:tc>
        <w:tc>
          <w:tcPr>
            <w:tcW w:type="dxa" w:w="75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Amount calculated.</w:t>
            </w:r>
          </w:p>
        </w:tc>
      </w:tr>
      <w:tr>
        <w:tc>
          <w:tcPr>
            <w:tcW w:type="dxa" w:w="1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Action</w:t>
            </w:r>
          </w:p>
        </w:tc>
        <w:tc>
          <w:tcPr>
            <w:tcW w:type="dxa" w:w="75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Confirm amount is within your tier limit (Tier 1 max = $25). If within limit, proceed. If above limit, submit Credit Approval Request to next tier. Do not communicate any amount to the customer until authorization is confirmed.</w:t>
            </w:r>
          </w:p>
        </w:tc>
      </w:tr>
      <w:tr>
        <w:tc>
          <w:tcPr>
            <w:tcW w:type="dxa" w:w="1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Output</w:t>
            </w:r>
          </w:p>
        </w:tc>
        <w:tc>
          <w:tcPr>
            <w:tcW w:type="dxa" w:w="75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Authorization confirmed, or escalation submitted.</w:t>
            </w:r>
          </w:p>
        </w:tc>
      </w:tr>
      <w:tr>
        <w:tc>
          <w:tcPr>
            <w:tcW w:type="dxa" w:w="1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Policy Ref</w:t>
            </w:r>
          </w:p>
        </w:tc>
        <w:tc>
          <w:tcPr>
            <w:tcW w:type="dxa" w:w="75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A5C"/>
                <w:sz w:val="18"/>
                <w:szCs w:val="18"/>
              </w:rPr>
              <w:t xml:space="preserve">FIN-RULE-004, FIN-RULE-005</w:t>
            </w:r>
          </w:p>
        </w:tc>
      </w:tr>
    </w:tbl>
    <w:p>
      <w:pPr>
        <w:spacing w:after="20" w:before="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Step 6: Check Courtesy Credit Frequency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Precondition</w:t>
            </w:r>
          </w:p>
        </w:tc>
        <w:tc>
          <w:tcPr>
            <w:tcW w:type="dxa" w:w="75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Authorization confirmed.</w:t>
            </w:r>
          </w:p>
        </w:tc>
      </w:tr>
      <w:tr>
        <w:tc>
          <w:tcPr>
            <w:tcW w:type="dxa" w:w="1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Action</w:t>
            </w:r>
          </w:p>
        </w:tc>
        <w:tc>
          <w:tcPr>
            <w:tcW w:type="dxa" w:w="75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Verify the account has not received a courtesy credit in the last 180 days. If the billing system blocks the transaction, escalate to Tier 3 for manager override.</w:t>
            </w:r>
          </w:p>
        </w:tc>
      </w:tr>
      <w:tr>
        <w:tc>
          <w:tcPr>
            <w:tcW w:type="dxa" w:w="1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Output</w:t>
            </w:r>
          </w:p>
        </w:tc>
        <w:tc>
          <w:tcPr>
            <w:tcW w:type="dxa" w:w="75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Frequency check passed, or escalated to Tier 3.</w:t>
            </w:r>
          </w:p>
        </w:tc>
      </w:tr>
      <w:tr>
        <w:tc>
          <w:tcPr>
            <w:tcW w:type="dxa" w:w="1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Policy Ref</w:t>
            </w:r>
          </w:p>
        </w:tc>
        <w:tc>
          <w:tcPr>
            <w:tcW w:type="dxa" w:w="75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A5C"/>
                <w:sz w:val="18"/>
                <w:szCs w:val="18"/>
              </w:rPr>
              <w:t xml:space="preserve">FIN-RULE-006</w:t>
            </w:r>
          </w:p>
        </w:tc>
      </w:tr>
    </w:tbl>
    <w:p>
      <w:pPr>
        <w:spacing w:after="20" w:before="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Step 7: Apply Credit &amp; Communicate Timeline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Precondition</w:t>
            </w:r>
          </w:p>
        </w:tc>
        <w:tc>
          <w:tcPr>
            <w:tcW w:type="dxa" w:w="75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Credit approved and frequency check passed.</w:t>
            </w:r>
          </w:p>
        </w:tc>
      </w:tr>
      <w:tr>
        <w:tc>
          <w:tcPr>
            <w:tcW w:type="dxa" w:w="1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Action</w:t>
            </w:r>
          </w:p>
        </w:tc>
        <w:tc>
          <w:tcPr>
            <w:tcW w:type="dxa" w:w="75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Apply the approved credit code (ADJ-COURTESY or ADJ-OUTAGE) in the billing system. State: 'I have approved a credit of $[Amount]. You will see this reflected on your next billing statement on [Date].' Quote the correct timeline from FIN-POL-03 Section 2.5.</w:t>
            </w:r>
          </w:p>
        </w:tc>
      </w:tr>
      <w:tr>
        <w:tc>
          <w:tcPr>
            <w:tcW w:type="dxa" w:w="1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Output</w:t>
            </w:r>
          </w:p>
        </w:tc>
        <w:tc>
          <w:tcPr>
            <w:tcW w:type="dxa" w:w="75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Credit applied in system. Customer informed of timeline.</w:t>
            </w:r>
          </w:p>
        </w:tc>
      </w:tr>
      <w:tr>
        <w:tc>
          <w:tcPr>
            <w:tcW w:type="dxa" w:w="1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Policy Ref</w:t>
            </w:r>
          </w:p>
        </w:tc>
        <w:tc>
          <w:tcPr>
            <w:tcW w:type="dxa" w:w="75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A5C"/>
                <w:sz w:val="18"/>
                <w:szCs w:val="18"/>
              </w:rPr>
              <w:t xml:space="preserve">FIN-RULE-010</w:t>
            </w:r>
          </w:p>
        </w:tc>
      </w:tr>
    </w:tbl>
    <w:p>
      <w:pPr>
        <w:spacing w:after="20" w:before="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Step 8: Document &amp; Close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Precondition</w:t>
            </w:r>
          </w:p>
        </w:tc>
        <w:tc>
          <w:tcPr>
            <w:tcW w:type="dxa" w:w="75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Resolution complete.</w:t>
            </w:r>
          </w:p>
        </w:tc>
      </w:tr>
      <w:tr>
        <w:tc>
          <w:tcPr>
            <w:tcW w:type="dxa" w:w="1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Action</w:t>
            </w:r>
          </w:p>
        </w:tc>
        <w:tc>
          <w:tcPr>
            <w:tcW w:type="dxa" w:w="75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Enter case notes within 5 minutes. Format: Reason | Calculation | Total Applied | Ticket ID. Ask: 'Is there anything else I can help you with today?' Provide case reference number and offer post-call survey.</w:t>
            </w:r>
          </w:p>
        </w:tc>
      </w:tr>
      <w:tr>
        <w:tc>
          <w:tcPr>
            <w:tcW w:type="dxa" w:w="1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Output</w:t>
            </w:r>
          </w:p>
        </w:tc>
        <w:tc>
          <w:tcPr>
            <w:tcW w:type="dxa" w:w="75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Case notes saved. Call closed.</w:t>
            </w:r>
          </w:p>
        </w:tc>
      </w:tr>
      <w:tr>
        <w:tc>
          <w:tcPr>
            <w:tcW w:type="dxa" w:w="1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Policy Ref</w:t>
            </w:r>
          </w:p>
        </w:tc>
        <w:tc>
          <w:tcPr>
            <w:tcW w:type="dxa" w:w="75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A5C"/>
                <w:sz w:val="18"/>
                <w:szCs w:val="18"/>
              </w:rPr>
              <w:t xml:space="preserve">CS-RULE-020, CS-RULE-021, CS-RULE-022</w:t>
            </w:r>
          </w:p>
        </w:tc>
      </w:tr>
    </w:tbl>
    <w:p>
      <w:pPr>
        <w:spacing w:after="20" w:before="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Bdr>
          <w:bottom w:val="single" w:color="D0DCE8" w:sz="2"/>
        </w:pBdr>
        <w:spacing w:after="120" w:before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Special Conditions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Fraud: never attempt Tier 1 resolution. Transfer to Tier 2 immediately. (FIN-RULE-008)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Serial refunders (&gt; 3 requests in 90 days): system auto-flags. Transfer to Tier 2. (FIN-RULE-007)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Cooling-off refunds: no-questions-asked, but equipment must be returned in good condition. (FIN-RULE-009)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2026-05-01T10:50:26.505Z</dcterms:created>
  <dcterms:modified xsi:type="dcterms:W3CDTF">2026-05-01T10:50:26.505Z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